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de la ejecución de las Sentencias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Carreras Egaña presentó el día 23 de mayo de 1998 en el registro de este Tribunal, escrito interponiendo recurso de amparo contra la Sentencia de la Audiencia Provincial de Las Palmas, de 20 de abril de 1998 que confirmó la dictada por el Juez de Primera Instancia núm. 2 de esa ciudad, en juicio de menor cuantía sobre reclamación de cantidad. En la demanda de amparo se nos cuenta que el recurrente fue condenado al pago de 823.000 pesetas que adeudaba a una entidad bancaria; una vez emplazado solicitó el nombramiento de Abogado y Procurador de Oficio, suspendiendo el Juzgado el plazo para comparecer y contestar a la demanda hasta tanto no le fueran designados los profesionales; transcurridos tres meses sin recibir contestación y sin que se personara el demandado, el Juzgado se dirigió al Colegio de Abogados reclamando que se efectuara el nombramiento; tres meses más tarde, sin recibir noticia alguna y sin haberse personado el demandado (hoy recurrente), el Juzgado levantó la suspensión y fue declarado en rebeldía; un mes después, se produce el nombramiento de los profesionales del turno de oficio, que se personan en los autos, cuando ya había finalizado el período de proposición y práctica de la prueba, y solicitan la nulidad de lo actuado, que es desestimada en la Sentencia de primera instancia al entender que la limitación de los medios de alegación y prueba ha sido únicamente imputable al demandado-recurrente. La Sentencia es confirmada en apelación por la Audiencia Provincial, con los mismos fundamentos que la de la instancia. </w:t>
      </w:r>
    </w:p>
    <w:p w:rsidRPr="00C21FFE" w:rsidR="00AD51A7" w:rsidRDefault="00AD51A7">
      <w:pPr>
        <w:rPr/>
      </w:pPr>
      <w:r w:rsidRPr="&lt;w:rPr xmlns:w=&quot;http://schemas.openxmlformats.org/wordprocessingml/2006/main&quot;&gt;&lt;w:lang w:val=&quot;es-ES_tradnl&quot; /&gt;&lt;/w:rPr&gt;">
        <w:rPr/>
        <w:t xml:space="preserve">En la demanda se invoca la violación del derecho fundamental a no padecer indefensión, al entender que la decisión del Juzgado y de la Audiencia, de proseguir el curso del proceso pese a la solicitud de nombramiento de Abogado y Procurador de oficio, siete meses después de decretada la suspensión, le ha limitado indebidamente las posibilidades de alegación y prueba en el proceso, al continuar el recurrente en rebeldía y no disponer de Letrado ni Procurador, por no habérselos designado el Colegio correspondiente. </w:t>
      </w:r>
    </w:p>
    <w:p w:rsidRPr="00C21FFE" w:rsidR="00AD51A7" w:rsidRDefault="00AD51A7">
      <w:pPr>
        <w:rPr/>
      </w:pPr>
      <w:r w:rsidRPr="&lt;w:rPr xmlns:w=&quot;http://schemas.openxmlformats.org/wordprocessingml/2006/main&quot;&gt;&lt;w:lang w:val=&quot;es-ES_tradnl&quot; /&gt;&lt;/w:rPr&gt;">
        <w:rPr/>
        <w:t xml:space="preserve">En virtud de todo ello se solicitó la nulidad de las Sentencias impugnadas, y, asimismo, sobre la base de lo dispuesto en el art. 56 LOTC,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septiembre de 1999, la Sala Segunda .acordó admitir a trámite la demanda de amparo y mediante providencia de la misma fecha, formar la pieza separada para la tramitación del incidente de suspensión y concediéndose un plazo de tres días a la parte recurrente y al Ministerio Fiscal para que, de conformidad al art. 56 LOTC, alegasen lo que estimaran pertinente sobre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13 de octubre de 1998, el Fiscal solicitó que fuera denegada la suspensión solicitada. A su juicio, en este caso se trata de una condena pecuniaria de cantidad líquida y, en el supuesto de estimarse el amparo, no se causaría, por tanto, efectos irreparables, porque el detrimento económico que trae consigo para el recurrente la declaración contenida en la Sentencia impugnada que lo condenó al pago de una cantidad dineraria siempre podrá ser devuelta sin que exista dato alguno que permita suponer la insolvencia del obligado a devolver.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presentó escrito alguno en el traslado que le fue conferido para ello.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 vez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la condena al pago de una cantidad de que ha sido objeto el recurrente en amparo, representa, en suma, una obligación pecuniaria cuantificada y recuperable en principio, incluido el perjuicio sufrido por el lucro cesante, aun cuando esta afirmación admita matizaciones en función de circunstancias objetivas (cuantía) y subjetivas (situación económica del condenado). Sin embargo, tales extremos no han sido acreditados en modo alguno, pues el recurrente ha guardado silencio a este respecto y ni siquiera ha alegado en este trámite de suspensión que el pago de tal cantidad haya de irrogar perjuicio alguno, capaz de hacer que el amparo perdiese su finalidad si llegase a buen puerto. Por ello, ha de quedar en pie el criterio general de respetar la efectividad de las Sentencias cuyos efectos sean exclusivamente patrimoniales, que nos impide conceder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de la ejecución de las Sentencias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veintinueve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