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3078-2001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amparo 3078-2001</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31 de mayo de 2001, don Rafael Salazar García anuncia su intención de interponer recurso de amparo contra la Sentencia de la Audiencia Provincial de Almería, Sección Segunda, de 10 de mayo de 2001, que confirma en apelación la del Juzgado de Instrucción núm. 1 de Almería de 10 de julio de 2000, por la que se le condena como autor de una falta de vejación injusta del art. 620.2 CP, para lo cual solicita el nombramiento de Abogado de oficio. Evacuados los trámites oportunos, la Procuradora de los Tribunales, doña María Teresa Marcos Moreno, en nombre y representación del recurrente, interpuso la correspondiente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fue condenado, por Sentencia del Juzgado de Instrucción núm. 1 de Almería, de 10 de julio de 2000, como autor de una falta de vejación injusta del art. 620.2 CP, a la pena de quince días de multa, a razón de mil pesetas de cuota diaria, con responsabilidad civil subsidiaria de un día de privación de libertad en caso de impago, así como al pago de las costas procesales. </w:t>
      </w:r>
    </w:p>
    <w:p w:rsidRPr="00C21FFE" w:rsidR="00AD51A7" w:rsidRDefault="00AD51A7">
      <w:pPr>
        <w:rPr/>
      </w:pPr>
      <w:r w:rsidRPr="&lt;w:rPr xmlns:w=&quot;http://schemas.openxmlformats.org/wordprocessingml/2006/main&quot;&gt;&lt;w:lang w:val=&quot;es-ES_tradnl&quot; /&gt;&lt;/w:rPr&gt;">
        <w:rPr/>
        <w:t xml:space="preserve">La sentencia declara probado que el recurrente estuvo profiriendo insultos y amenazas telefónicas durante año y medio a través de un teléfono fijo de Córdoba y de un teléfono móvil cuyo número quedaba grabado en el móvil de la víctima. </w:t>
      </w:r>
    </w:p>
    <w:p w:rsidRPr="00C21FFE" w:rsidR="00AD51A7" w:rsidRDefault="00AD51A7">
      <w:pPr>
        <w:rPr/>
      </w:pPr>
      <w:r w:rsidRPr="&lt;w:rPr xmlns:w=&quot;http://schemas.openxmlformats.org/wordprocessingml/2006/main&quot;&gt;&lt;w:lang w:val=&quot;es-ES_tradnl&quot; /&gt;&lt;/w:rPr&gt;">
        <w:rPr/>
        <w:t xml:space="preserve">b) Contra la anterior resolución se interpuso recurso de apelación, desestimado por Sentencia de la Audiencia Provincial de Almería, Sección segunda, de 10 de mayo de 2001, que confirma íntegramente la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que se declare la nulidad de las resoluciones judiciales recurridas por vulneración del derecho del recurrente a la tutela judicial efectiva (art. 24.1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artículo 56.1 LOTC el demandante solicita se deje en suspenso la ejecución de la sentencia, alegando que la misma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diciembre de 2002, la Sección Primera de este Tribunal acordó la admisión a trámite de la demanda así como, a tenor de lo establecido en el artículo 51 LOTC, habiéndose recibido ya testimonio de las actuaciones, requerir atentamente al Juzgado de Instrucción núm. 1 de Almería para que emplazara a quienes fueron parte en el procedimiento, a excepción del demandante de amparo, a fin de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artículo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12 de diciembre de 2002 se registró en este Tribunal el escrito de alegaciones del Ministerio Fiscal, quien se opone a la suspensión solicitada, dado que la pena impuesta es de quince días de multa con cuota diaria de 1.000 pesetas y que la doctrina de este Tribunal sostiene que los pronunciamientos condenatorios de contenido económico no causan perjuicios irreparables, al ser posible su restitución íntegra. A ello se añade que no se ha acreditado la irreparabilidad del perjuicio que pudiera originarse y que el abono de un total de 15.000 pesetas de multa difícilmente puede causar perjuicios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16 de diciembre de 2002, tuvo entrada en este Tribunal el escrito de alegaciones del demandante de amparo, en el que reitera la solicitud de suspensión, porque de otro modo el amparo podría perder su finalidad, ya que de no satisfacerse el importe de la multa impuesta podría producirse el ingreso en prisión, lo cual sería irreparable.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artículo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186/1998, 99/2002),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económico, pues ni se causa un perjuicio irreparable al obligado al pago por la Sentencia condenatoria, ni hace perder al amparo su finalidad (SSTC 275/1990, 44/2001; 106/2002). Por el contrario, si los pronunciamientos condenatorios afectan a bienes o derechos del recurrente en amparo de imposible o muy difícil restitución a su estado anterior, procede acordarla, lo cual sucede, en principio, en las condenas a penas privativas de libertad y a penas privativas o limitativas de ciertos derechos (por todos, entre los más recientes AATC 286/2000, 63/2001, 106/2002)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la no procedencia de la suspensión solicitada. El recurrente resultó condenado exclusivamente a una pena de multa (cuyo importe total es de 15.000 pesetas) y al pago de las costas procesales, condenas de contenido económico cuya ejecución no ocasionaría ningún perjuicio irreparable, al ser posible su restitución íntegra caso de estimarse el amparo, sin que se haya acreditado en absoluto la irreparabilidad del perjuicio. Una irreparabilidad que -como señala el Ministerio Fiscal- difícilmente puede ocasionar la ejecución de una condena de tan escasa cuantía económica, salvo en circunstancias absolutamente excepcionales, que en todo caso no se acreditan. Tampoco procede, en el momento actual, la suspensión de la responsabilidad personal subsidiaria para el caso de impago de la pena de multa, pues se trata de una eventualidad futura, que de sobrevenir (por falta de abono voluntario o en vía de apremio) podría dar lugar a la modificación de la medida cautelar que ahora se adopta en virtud de lo establecido en el art. 57 LOTC (AATC 107/1998, 136/1999, 227/1999, 245/1999, 61/2000, 41/2002).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