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octubre de 2002, doña Matilde Carmen Tello Borrell, Procuradora de los Tribunales, interpuso, en nombre de don Thomas Grigaliunas, recurso de amparo contra la Sentencia de la Sección Séptima de la Audiencia Provincial de Alicante de 31 de julio de 2002 y contra la Sentencia del Juzgado de lo Penal núm. 1 de Orihuela (Alicante) de 30 de marzo de 2002, en virtud de las cuales el recurrente fue condenado, como autor de un delito de asociación ilícita a las penas de un año y seis meses de prisión y multa de dieciocho meses, como autor de un delito de favorecimiento a la inmigración ilegal a la pena de veintiún meses de prisión, como autor de un delito de daños a la pena de doce meses multa, como autor de dos delitos de amenazas a la pena de tres años de prisión por cada uno de ellos y como autor de una falta de lesiones a la pena de un mes multa; asimismo fue condenado a las penas accesorias de inhabilitación especial para el derecho de sufragio por el tiempo de la condena a las penas privativas de libertad impuestas, responsabilidad personal subsidiaria de un día por cada dos cuotas de multa para el caso de impago de ésta y al pago de una quinta parte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presunción de inocencia (art. 24.2 CE), por haber sido condenado, en su criterio, sin pruebas válidas y suficientes para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este Tribunal de 15 de julio de 2004, se acordó la admisión a trámite de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30 de julio de 2004, la representación procesal del recurrente, en el trámite de alegaciones, adujo llevar en prisión desde el día 13 de noviembre de 2000, lo que implica haber cumplido prácticamente la mitad de la pena impuesta, además de que todos los delitos por los que fue condenado son delitos menos graves que llevan a aparejadas penas inferiores a tres años, por lo que entiende que la suspensión solicitada no causaría un perjuicio en el interés público, mientras que el recurso de amparo podría perder su finalidad en caso de no accederse a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4 de agosto de 2004, el Ministerio Fiscal, interesó la denegación de la suspensión de la resolución en aplicación de la jurisprudencia de este Tribunal conforme a la cual no procede la suspensión de la resolución en lo que atañe a sus pronunciamientos de naturaleza económica, ya que es posible su restitución total; tampoco procede en este caso la suspensión de las penas privativas de libertad, dado que tanto su duración (un total de nueve años y nueve meses), como la integración del recurrente en una asociación criminal dedicada al favorecimiento de la inmigración ilegal de personas, a las que explotan y contra las que emplean violencia si pretenden librarse de las condiciones que les imponen, sustentan el grave perjuicio en los intereses generales que la suspensión provocaría, sin que sea de temer la pérdida de la finalidad del amparo en caso de estimación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2/2001, 45/2001, 64/2001).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161/1999 103/2001, 8/2002).</w:t>
      </w:r>
    </w:p>
    <w:p w:rsidRPr="00C21FFE" w:rsidR="00AD51A7" w:rsidRDefault="00AD51A7">
      <w:pPr>
        <w:rPr/>
      </w:pPr>
      <w:r w:rsidRPr="&lt;w:rPr xmlns:w=&quot;http://schemas.openxmlformats.org/wordprocessingml/2006/main&quot;&gt;&lt;w:lang w:val=&quot;es-ES_tradnl&quot; /&gt;&lt;/w:rPr&gt;">
        <w:rPr/>
        <w:t xml:space="preserve">En este caso, se ha de examinar la petición de suspensión de las resoluciones judiciales en lo atinente a las penas de prisión impuestas, que suman un total de nueve años y nueve meses, las accesorias de inhabilitación especial, las multas y correspondiente responsabilidad personal subsidiaria, y la condena al pago de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Esta doctrina es igualmente aplicable a la condena en costas procesales, ya que al entrañar un pago en dinero, su ejecución no provoca ningún perjuicio que pueda hacer inútil el recurso de amparo (AATC 244/1991, 267/1995, 117/1999, 211/2004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a las distintas penas de multa y en costas procesales.</w:t>
      </w:r>
    </w:p>
    <w:p w:rsidRPr="00C21FFE" w:rsidR="00AD51A7" w:rsidRDefault="00AD51A7">
      <w:pPr>
        <w:rPr/>
      </w:pPr>
      <w:r w:rsidRPr="&lt;w:rPr xmlns:w=&quot;http://schemas.openxmlformats.org/wordprocessingml/2006/main&quot;&gt;&lt;w:lang w:val=&quot;es-ES_tradnl&quot; /&gt;&lt;/w:rPr&gt;">
        <w:rPr/>
        <w:t xml:space="preserve">Tampoco procede en este momento la suspensión de la responsabilidad personal subsidiaria para el caso de impago de las multas, pues, se trata de una evento futuro e incierto que, en caso de producirse, puede dar lugar a una nueva solicitud de suspensión (art. 57 LOTC) [por todos, ATC 142/2004].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53/1992, 419/1997, 49/1998, 22/2002, 165/2004).</w:t>
      </w:r>
    </w:p>
    <w:p w:rsidRPr="00C21FFE" w:rsidR="00AD51A7" w:rsidRDefault="00AD51A7">
      <w:pPr>
        <w:rPr/>
      </w:pPr>
      <w:r w:rsidRPr="&lt;w:rPr xmlns:w=&quot;http://schemas.openxmlformats.org/wordprocessingml/2006/main&quot;&gt;&lt;w:lang w:val=&quot;es-ES_tradnl&quot; /&gt;&lt;/w:rPr&gt;">
        <w:rPr/>
        <w:t xml:space="preserve">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235/1999), siete años (AATC 105/1993, 126/1998; 305/2001,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como razona el Ministerio Fiscal no procede la suspensión de las penas privativas de libertad en atención a la duración total de las penas impuestas (AATC 419/1997, 47/1998, 48/1998), pues, de un lado, aunque los delitos por separado tengan penas menos graves, no puede desconocerse la gravedad de los hechos en atención a ser cometidas por y en el seno de una organización criminal, lo que es criterio fundamentador del interés general en la ejecución de la resolución, sin que, por otra parte, el tiempo de cumplimiento efectivo de prisión que le resta haga temer la pérdida de la finalidad del amparo.</w:t>
      </w:r>
    </w:p>
    <w:p w:rsidRPr="00C21FFE" w:rsidR="00AD51A7" w:rsidRDefault="00AD51A7">
      <w:pPr>
        <w:rPr/>
      </w:pPr>
      <w:r w:rsidRPr="&lt;w:rPr xmlns:w=&quot;http://schemas.openxmlformats.org/wordprocessingml/2006/main&quot;&gt;&lt;w:lang w:val=&quot;es-ES_tradnl&quot; /&gt;&lt;/w:rPr&gt;">
        <w:rPr/>
        <w:t xml:space="preserve">Igual suerte han de correr las penas de inhabilitación especial impuestas, pues, de conformidad con la jurisprudencia constitucional, las penas accesorias siguen la suerte de la principal (entre muchos AATC 144/1984, 267/1995, 301/1995, 7/1996, 152/1996, 87/1997, 286/1997, 182/1998, 271/1998, 83/2000, 22/2002, 168/2004).</w:t>
      </w:r>
    </w:p>
    <w:p w:rsidRPr="00C21FFE" w:rsidR="00AD51A7" w:rsidRDefault="00AD51A7">
      <w:pPr>
        <w:rPr/>
      </w:pPr>
      <w:r w:rsidRPr="&lt;w:rPr xmlns:w=&quot;http://schemas.openxmlformats.org/wordprocessingml/2006/main&quot;&gt;&lt;w:lang w:val=&quot;es-ES_tradnl&quot; /&gt;&lt;/w:rPr&gt;">
        <w:rPr/>
        <w:t xml:space="preserve">No obstante, y como hemos hecho en ocasiones similares, procede anteponer la resolución del presente amparo en el orden de los señalamientos, una vez concluida su tramitación, para paliar la pérdida parcial de la finalidad del amparo en caso de producirse (por todos, AATC 144/1990, 419/1997, 48/1998).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