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9109-2006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9109-2006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los Autos de la Sección Primera de la Sala de lo Penal de la Audiencia Nacional de 7 y 31 de agosto de 2006, dictados en el rollo núm. 22-2002.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octubre de 2006, la Procuradora de los Tribunales doña Mercedes Espallargas Carbó interpuso, en nombre de don José Orlando Botero Henao, recurso de amparo contra los Autos de fecha 7 y 31 de agosto de 2006, dictado por la Sección Primera de la Sala de lo Penal de la Audiencia Nacional, dictado en el rollo núm 22-2002, sumario núm. 11-2002, procedente del Juzgado Central de Instrucción núm. 6, por conculcar el derecho a la tutela judicial efectiva (art. 24.1 CE) y el derecho a la libertad personal (art. 17.4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alega en primer lugar la violación del derecho a la tutela judicial efectiva (art. 24.1 CE), porque la Sala no se pronunció en ningún momento sobre la pretensión planteada, relativa a la violación del derecho a la libertad por no haberse pronunciado sobre la prórroga de la prisión provisional antes de la expiración del término ordinario legalmente previsto. En su segundo motivo, el núcleo sustancial de la queja del demandante de amparo reside en la vulneración del derecho a la libertad personal que supone la permanencia en prisión provisional más allá del límite permitido legalmente sin que, con carácter previo, se hubiese dictado un Auto en el que de forma expresa se prorrogara la prisión provisional. En la demanda de amparo se solicita también, mediante otrosí, la suspensión de la ejecución de las penas impuestas en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16 de enero de 2007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25 de enero de 2007 el Ministerio Fiscal interesó la denegación de la suspensión solicitada de la pena privativa de libertad, alegando que en el presente caso resulta aplicable la específica doctrina constitucional que repite que la suspensión debe ser descartada cuando la concesión de la misma equivalga al otorgamiento anticipado del amparo, pues desde la perspectiva de este proceso constitucional suspender su ejecutoriedad implicaría anticipar de hecho los eventuales efectos del otorgamiento del amparo extramuros de la finalidad cautelar de la medida. En este caso, el recurrente se encuentra en situación de prisión provisional, privado de libertad desde su captura y extradición desde Colombia a España, en razón de un sumario seguido en la Audiencia Nacional por delito de tráfico de droga, y recurre en amparo contra la lesión que atribuye al Auto que desestima su petición de libertad y acuerda el mantenimiento de su situación de prisión provisional a su vez recurrido en súplica (que fue desestimada). Así pues, suspender la decisión de mantener la prisión provisional llevaría aneja la puesta en libertad del recurrente y equivaldría –con independencia del alcance y efectos de una eventual sentencia estimatoria en este recurso- al otorgamiento anticipado del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se ha de examinar la petición de suspensión de las resoluciones judiciales denegando la libertad provisional del recurrente. Hemos indicado consecuentemente que “es doctrina reiterada de este Tribunal que si bien la afección del derecho a la libertad personal de las resoluciones impugnadas supone que su ejecución causa perjuicios irreparables, sin embargo, la suspensión de la ejecución de las resoluciones judiciales relativas a medidas cautelares de acuerdo o prórroga de prisión provisional equivaldría a un otorgamiento anticipado del amparo, no procediendo en este trámite un examen de fondo de la demanda. En particular, hemos declarado: “Cuando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Hemos reiterado que cuando lo que se recurre son resoluciones judiciales existe un interés general en su ejecución, y, a su vez, que este principio ha de ser matizado caso a caso, pues en otro supuesto nunca cabría la suspensión de resoluciones judiciales al convertirse la perturbación del interés general en causa de denegación de la misma. La mera perturbación que provoca ya la pérdida de ejecutividad de una resolución judicial no puede impedir por sí sola la suspensión (ATC 169/1995), por tanto el análisis ha de efectuarse caso por caso valorando los intereses en conflicto. 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[ATC 332/1996; en sentido similar AATC 249/1996, 22/1997, 164/1998, 147/2000, 275/1999, 121/2001]” (ATC 364/2003, de 10 de noviembre,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expuesto no procede conceder la suspensión solicitada; sin embargo, la gravedad y certeza de los perjuicios que esta denegación puede ocasionar obligan a este Tribunal a reducir en lo posible esos efectos, con lo que, como se ha hecho en otros casos, y singularmente en los antes citados, la Sala acuerda acelerar la resolución del presente recurso, incluso anteponiéndola en el orden de señalamientos (AATC 249/1996, 22/1997, 164/1998, 147/2000, 275/1999, 121/2001, 364/2003, 415/2004).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los Autos de la Sección Primera de la Sala de lo Penal de la Audiencia Nacional de 7 y 31 de agosto de 2006, dictados en el rollo núm. 22-2002.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