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6097-2005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6097-2005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de Algeciras de la Audiencia Provincial de Cádiz, de fecha 8 de julio de 2005, que desestima el recurso de apelación (rollo núm. 54-2005) interpuesto contra la Sentencia del Juzgado de lo</w:t>
            </w:r>
          </w:p>
          <w:p w:rsidRPr="00D13423" w:rsidR="00AD51A7" w:rsidRDefault="00AD51A7">
            <w:pPr>
              <w:rPr/>
            </w:pPr>
            <w:r w:rsidRPr="&lt;w:rPr xmlns:w=&quot;http://schemas.openxmlformats.org/wordprocessingml/2006/main&quot;&gt;&lt;w:color w:val=&quot;800080&quot; /&gt;&lt;w:szCs w:val=&quot;24&quot; /&gt;&lt;/w:rPr&gt;">
              <w:rPr/>
              <w:t xml:space="preserve">Penal núm. 3 de Algeciras, de 25 de enero de 2005 (procedimiento abreviado núm. 526-2004), exclusivamente en lo relativo a la pena privativa de libertad.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 de septiembre de 2005, el Procurador de los Tribunales don Salvador Ferrándiz y Álvarez de Toledo, en nombre y representación de don José Rodríguez Pichaco, interpuso recurso de amparo contra la Sentencia dictada por la Audiencia Provincial de Cádiz, Sección de Algeciras, de 8 de julio de 2005, que desestima el recurso de apelación núm. 54-2005, interpuesto contra la Sentencia del Juzgado de lo Penal núm. 3 de Algeciras, de 25 de enero de 2005, procedimiento abreviado núm. 526-2004, que condenó al recurrente en amparo como autor penalmente responsable de un delito contra la salud pública a la pena de tres años y un mes de prisión, 15.000 euros de multa, con arresto sustitutorio de un día en caso de impago, y una cuarta parte de las costas. Por otrosí se solicita en la demanda la suspensión de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10 de julio de 2007 la Sala Segunda de este Tribunal acordó, respectivamente, admitir a trámite el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fechado en el Registro de este Tribunal el día 18 de julio de 2007, el recurrente solicita la suspensión de las Sentencias impugnadas en tanto se resuelva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el 24 de julio de 2007, interesó, en suma, la suspensión en cuanto a la pena de tres años y un mes de prisión impuesta al recurrente, no así de la multa, por tratarse de una pena de contenido económico, ni tampoco de la responsabilidad personal subsidiaria para el caso de impago de la pena de multa, de conformidad con la jurisprudencia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 apartados 1 y 2, LOTC la Sala o Sección que conozca de un recurso de amparo “no suspenderá los efectos del acto o sentencia impugnados” salvo cuando, de llevarse a cabo la ejecución, se hubiere de causar al recurrente un perjuicio “que pudiera hacer perder al amparo su finalidad” y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228/2001, entre otros muchos). Acorde, pues, con la naturaleza especial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dicha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Del mismo modo, la suspensión de resoluciones judiciales en cuyo fallo se declare la condena a penas de privación de libertad no es aplicable con carácter absoluto y sin restricciones, dado que el citado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201/1983,476/1984, 418/1985,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doctrina reseñada obliga a considerar, como apunta el Ministerio Fiscal, si se compara la duración de la pena privativa de libertad impuesta al demandante (tres años y un mes) con el tiempo que requiere normalmente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si no ya cumplida. Por otro lado, atendidas todas las circunstancias concurrentes en este supuesto, no se aprecia que acceder a la suspensión solicitada ocasione una lesión específica y grave de intereses constitucionalmente protegidos, ni de derechos fundamentales o libertades públicas de terceros, mientras que el supuesto contrario sí irrogaría al demandante perjuicios de muy difícil o imposible reparación.</w:t>
      </w:r>
    </w:p>
    <w:p w:rsidRPr="00C21FFE" w:rsidR="00AD51A7" w:rsidRDefault="00AD51A7">
      <w:pPr>
        <w:rPr/>
      </w:pPr>
      <w:r w:rsidRPr="&lt;w:rPr xmlns:w=&quot;http://schemas.openxmlformats.org/wordprocessingml/2006/main&quot;&gt;&lt;w:lang w:val=&quot;es-ES_tradnl&quot; /&gt;&lt;/w:rPr&gt;">
        <w:rPr/>
        <w:t xml:space="preserve">No procede, sin embargo, acceder a la suspensión de la multa (15.000 euros) ni de la condena al pago de la cuarta parte de las costas procesales, por tratarse de pronunciamientos de carácter estrictamente económicos, unido al hecho de que el recurrente nada ha alegado en sus escritos de demanda y de alegaciones sobre las serias dificultades que le supondría el abono de dichas cantidades. Tampoco procede en el momento actual la suspensión de la responsabilidad personal subsidiaria para el caso de impago de la pena de multa, pues se trata de una eventualidad futura que, de sobrevenir (por falta de abono voluntario o en vía de apremio), podría dar lugar a la modificación de la medida cautelar que ahora se adopta en virtud de lo establecido en el art.  57 LOTC (AATC 107/1998, 136/1999, 227/1999, 245/1999, 61/2000, 41/2002, 362/2003, 409/2003, 369/2004, 315/2004).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de Algeciras de la Audiencia Provincial de Cádiz, de fecha 8 de julio de 2005, que desestima el recurso de apelación (rollo núm. 54-2005) interpuesto contra la Sentencia del Juzgado de lo</w:t>
      </w:r>
    </w:p>
    <w:p w:rsidRPr="" w:rsidR="00AD51A7" w:rsidRDefault="00AD51A7">
      <w:pPr>
        <w:rPr/>
      </w:pPr>
      <w:r w:rsidRPr="&lt;w:rPr xmlns:w=&quot;http://schemas.openxmlformats.org/wordprocessingml/2006/main&quot;&gt;&lt;w:szCs w:val=&quot;24&quot; /&gt;&lt;/w:rPr&gt;">
        <w:rPr/>
        <w:t xml:space="preserve">Penal núm. 3 de Algeciras, de 25 de enero de 2005 (procedimiento abreviado núm. 526-2004), exclusivamente en lo relativo a la pena privativa de libertad.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