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114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2008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28 de abril de 2008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Javier Delgado Barrio, don Jorge Rodríguez-Zapata Pérez, don Manuel Aragón Reyes y don Pablo Pérez Tremps.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3013-2004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3013-2004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Estimar la causa de abstención formulada por la Excma. Sra. doña María Emilia Casas Baamonde en el recurso de amparo núm. 3013-2004, apartándola definitivamente del referido recurso.</w:t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1. Por escrito presentado en este Tribunal el 12 de mayo de de 2004, “Pelayo Mutua de seguros a prima fija”, representada por la Procuradora de los Tribunales doña María Asunción Miquel Aguado y asistida por el Abogado don Alberto Martín Antón, interpone recurso de amparo contra las Sentencias de 18 de diciembre de 2000 y de 29 de octubre de 2001 del Juzgado de Instrucción núm. 2 de Colmenar Viejo y contra la Sentencia de la Sección Decimoséptima de la Audiencia Provincial de Madrid de 15 de marzo de 2004. 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/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2. Mediante comunicación de fecha 21 de marzo de 2007, la Presidenta Excma. Sra. doña María Emilia Casas Baamonde expone: “Que conforme a lo previsto en el art. 217 LOPJ, manifiesto mi voluntad de abstenerme en el conocimiento del recurso de amparo núm. 3013-2004, por entender que concurre la causa establecida legalmente en el art. 219.9 LOPJ, por mi relación de amistad con representantes de la entidad ‘Pelayo Mutua de seguros y reaseguros a prima fija’ ”.</w:t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1. Único. Vista la comunicación efectuada por la Excma. Sra. doña María Emilia Casas Baamonde y de conformidad de lo previsto en el art. 80 de la Ley Orgánica del Tribunal Constitucional y el art. 219.9 de la Ley Orgánica del Poder Judicial, procede estimar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justificada la causa de abstención formulada en atención a la relación de amistad con representantes de la demandante de amparo “Pelayo Mutua de seguros a prima fija”.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A este respecto debe señalarse que “la imparcialidad subjetiva, entendiendo este concepto en el sentido que lo emplea el Tribunal Europeo de Derechos Humanos, [ha de concebirse] como la convicción personal del juez, lo que piensa en su fuero interno” (ATC 178/2005, de 9 de mayo, FJ 1). Por ello, al igual que hemos apreciado en un caso similar anterior, ante la duda de que la relación de amistad con representantes de la entidad Pelayo Mutua de seguros y reaseguros a prima fija, parte demandante en este proceso, manifestada por la Presidenta de este Tribunal “le impida ejercer su función imparcialmente —duda implícitamente formulada por [la propia Presidente] al manifestar su voluntad de abstenerse por este motivo—, la abstención debe entenderse justificada” (ATC antes citado, FJ 2).</w:t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>Por lo expuesto, la Sala</w:t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>Estimar la causa de abstención formulada por la Excma. Sra. doña María Emilia Casas Baamonde en el recurso de amparo núm. 3013-2004, apartándola definitivamente del referido recurso.</w:t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>Madrid, a veintiocho de abril de dos mil ocho.</w:t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