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9432-2006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9432-2006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17 de octubre de 2006, doña Almudena Gil Segura, Procuradora de los Tribunales, en nombre y representación de la entidad mercantil Aqua Medicina y Cirugía Estética, S.L., interpuso recurso de amparo contra la Sentencia de la Sección Octava de la Sala de lo Contencioso-Administrativo del Tribunal Superior de Justicia de Madrid, recaída el 14 de julio de 2006 en el procedimiento ordinario núm. 1922-2003.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de la demandante son los siguientes: </w:t>
      </w:r>
    </w:p>
    <w:p w:rsidRPr="00C21FFE" w:rsidR="00AD51A7" w:rsidRDefault="00AD51A7">
      <w:pPr>
        <w:rPr/>
      </w:pPr>
      <w:r w:rsidRPr="&lt;w:rPr xmlns:w=&quot;http://schemas.openxmlformats.org/wordprocessingml/2006/main&quot;&gt;&lt;w:lang w:val=&quot;es-ES_tradnl&quot; /&gt;&lt;/w:rPr&gt;">
        <w:rPr/>
        <w:t xml:space="preserve">a) La demandante de amparo fue sancionada por Resolución de 5 de marzo de 2003 de la Consejería de Sanidad de la Comunidad Autónoma de Madrid, como responsable de una falta muy grave tipificada en el art. 108.2 c) 1 de la Ley 25/1990, del medicamento, de 20 de diciembre, a una multa de 30.051 euros; y como responsable de una falta grave tipificada en el art. 108.2 b) 17 de la misma Ley, a una multa de 15.025 euros. </w:t>
      </w:r>
    </w:p>
    <w:p w:rsidRPr="00C21FFE" w:rsidR="00AD51A7" w:rsidRDefault="00AD51A7">
      <w:pPr>
        <w:rPr/>
      </w:pPr>
      <w:r w:rsidRPr="&lt;w:rPr xmlns:w=&quot;http://schemas.openxmlformats.org/wordprocessingml/2006/main&quot;&gt;&lt;w:lang w:val=&quot;es-ES_tradnl&quot; /&gt;&lt;/w:rPr&gt;">
        <w:rPr/>
        <w:t xml:space="preserve">b) La sancionada interpuso recurso de reposición, que fue desestimado por Resolución de 31 de julio de 2003. </w:t>
      </w:r>
    </w:p>
    <w:p w:rsidRPr="00C21FFE" w:rsidR="00AD51A7" w:rsidRDefault="00AD51A7">
      <w:pPr>
        <w:rPr/>
      </w:pPr>
      <w:r w:rsidRPr="&lt;w:rPr xmlns:w=&quot;http://schemas.openxmlformats.org/wordprocessingml/2006/main&quot;&gt;&lt;w:lang w:val=&quot;es-ES_tradnl&quot; /&gt;&lt;/w:rPr&gt;">
        <w:rPr/>
        <w:t xml:space="preserve">c) Finalmente interpuso recurso contencioso-administrativo, que fue desestimado por la Sección Octava de la Sala de lo Contencioso-Administrativo del Tribunal Superior de Justicia de Madrid, mediante Sentencia de 14 de julio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principio de supremacía de la jurisdicción penal sobre la potestad administrativa sancionadora y del principio non bis in idem, como consecuencia de haber sido sancionada administrativamente por unos hechos que simultáneamente eran objeto de un proceso penal seguido en el Juzgado de Instrucción núm.1 de Leganés (diligencias previas núm. 1104-2002). Igualmente denuncia no haber tenido conocimiento del acuerdo de iniciación del expediente disciplinario ni de la propuesta de resolución, sino tan solo de la resolución final sancionadora, lo cual le ha impedido proponer la práctica de una concreta prueba testifical, que especifica. Por último se alega la vulneración del derecho a la presunción de inocencia (art. 24.2 CE) y de los principios de legalidad y tipicidad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otrosí de la demanda, la entidad recurrente solicita que se deje en suspenso la ejecución de la Sentencia impugnada, de acuerdo con lo previsto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17 de abril de 2008 la Sección Segunda de este Tribunal acordó la admisión a trámite de la demanda de amparo, así como, a tenor de lo establecido en el art. 51 LOTC, requerir a la Consejería de Sanidad de la Comunidad Autónoma de Madrid y a la Sección Octava de la Sala de lo Contencioso-Administrativo del Tribunal Superior de Justicia de Madrid para que remitieran testimonio, respectivamente, del expediente administrativo y de las actuaciones judiciales, acordándose al mismo tiempo el emplazamiento de quienes fueron parte en el proceso judicial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otra providencia de la misma fecha se acordó formar la correspondiente pieza separada de suspensión y, de conformidad con lo previsto en el art. 56 LOTC, conceder un plazo común de tres días al Ministerio Fiscal y a las partes personadas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recurrente formuló alegaciones el 25 de abril de 2008, aduciendo que la suspensión solicitada no produce daño para el interés público y, por el contrario, evitaría a la demandante de amparo el perjuicio derivado de carecer de liquidez suficiente para atender al pago de las sanciones, por lo que se vería obligada a solicitar un crédito bancario o a replantearse la continuidad de su actividad, con el consiguiente perjuicio para los empleados.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presentado el 28 de mayo de 2008, el Ministerio Fiscal se opone a la suspensión solicitada ya que el pronunciamiento judicial impugnado tiene un contenido exclusivamente pecuniario y, por tanto, fácilmente 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 la Comunidad Autónoma de Madrid, mediante escrito presentado el 30 de mayo de 2008, solicita la denegación de la suspensión interesada, en consideración a que tiene una proyección meramente económica y la demanda no ofrece justificación alguna de su procedencia.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a un interés constitucionalmente protegido, o de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hemos venido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185/1998, de 14 de septiembre, FJ 1; 99/1999, de 26 de abril, FJ 2; 289/2000, de 11 de diciembre, FJ 2; 230/2001, de 24 de julio, FJ 1; 171/2002, de 30 de septiembre, FJ 1; 413/2003, de 15 de diciembre, FJ 1; 530/2004 de 20 de diciembre, FJ 1; y 170/2006, de 24 de mayo, FJ 1, entre otros muchos).</w:t>
      </w:r>
    </w:p>
    <w:p w:rsidRPr="00C21FFE" w:rsidR="00AD51A7" w:rsidRDefault="00AD51A7">
      <w:pPr>
        <w:rPr/>
      </w:pPr>
      <w:r w:rsidRPr="&lt;w:rPr xmlns:w=&quot;http://schemas.openxmlformats.org/wordprocessingml/2006/main&quot;&gt;&lt;w:lang w:val=&quot;es-ES_tradnl&quot; /&gt;&lt;/w:rPr&gt;">
        <w:rPr/>
        <w:t xml:space="preserve">A ello se añade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(AATC 253/1995, de 25 de septiembre; 72/1997, de 10 de marzo; y 145/2006, de 24 de abril, FJ 2,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hemos dicho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A tal fin, hemos venido distinguiendo entre aquellas decisiones judiciales cuya efectividad no impide devolver las cosas al ser y estado en que se hallaban antes de la ejecución y que admiten, por tanto, una posterior restitutio in integrum;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En general,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275/1990, de 2 de julio, FJ 2; 530/2004, de 20 de diciembre, FJ 2; y 170/2006, de 24 de mayo, FJ 2).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hemos accedido a la suspensión (AATC 565/1986, de 2 de julio, FJ único; 52/1989, de 30 de enero, FJ único; y 335/2005, de 15 de septiembre, FJ 2).</w:t>
      </w:r>
    </w:p>
    <w:p w:rsidRPr="00C21FFE" w:rsidR="00AD51A7" w:rsidRDefault="00AD51A7">
      <w:pPr>
        <w:rPr/>
      </w:pPr>
      <w:r w:rsidRPr="&lt;w:rPr xmlns:w=&quot;http://schemas.openxmlformats.org/wordprocessingml/2006/main&quot;&gt;&lt;w:lang w:val=&quot;es-ES_tradnl&quot; /&gt;&lt;/w:rPr&gt;">
        <w:rPr/>
        <w:t xml:space="preserve">La aplicación de la doctrina general reseñada al presente caso conduce a denegar la medida cautelar solicitada, habida cuenta de que la demandante no acredita qué perjuicios causaría la no suspensión de la resolución impugnada, y de que, en cualquier caso, tal pronunciamiento judicial —que desestima la impugnación contra sendas sanciones administrativas de 30.051 y 15.025 euros— tiene un contenido exclusivamente pecuniario y, por tanto, fácilmente reparable, como hemos considerado en ocasiones precedentes respecto de otros casos referidos también al pago de multas (así, AATC 528/2004, de 20 de diciembre, FJ 3; y 411/2004, de 2 de noviembre,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