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7934-2006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7934-2006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julio de 2006 el Procurador de los Tribunales don Juan Carlos Estévez Fernández-Novoa, en nombre y representación de don Antonio Rivera Pedraza, interpuso recurso de amparo contra la Sentencia de la Sección Primera de la Audiencia Provincial de Málaga de 21 de febrero de 2006, por la que se resuelve el recurso de apelación interpuesto contra la Sentencia del Juzgado de Instrucción núm. 9 de Málaga de 4 de octubre de 2005, dictada en el juicio de faltas núm. 292-2005, revocando el pronunciamiento absolutorio recaído a favor del recurrente por parte del Juzgado de instancia y condenando al mismo como autor de una falta de coacciones a la pena de veinte días de multa, con una cuota diaria de 6 euros, declarando de oficio las costas en ambas instancias, debiendo el condenado, en el plazo de veinticuatro horas a contar desde la notificación de la Sentencia de apelación, “permitir la entrada y ocupación de la obra por parte del promotor-propietario del terreno y de la obra construida”, bajo expreso apercibimiento de desalojo y posible comisión de un delito de desobediencia. </w:t>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LOTC, el demandante solicitó que se acordara la suspensión de la ejecución de la Sentencia recurrida en amparo, extendiéndose esta suspensión al pronunciamiento relativo a “permitir la entrada y ocupación de la obra por parte del promotor-propietario del terreno y de la obra construida”. Respecto de este último extremo entiende que, de no suspenderse la ejecución de la Sentencia, el amparo que pudiera concederse por este Tribunal devendría inoperante, ya que siendo el promotor insolvente, “al obtener la posesión de la obra y proceder a la venta de las viviendas y locales que la componen, no será posible el cobro de la deuda que se declare en el proceso civil pendiente”.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noviembre de 2008 la Sala Segunda de este Tribunal acordó admitir a trámite la demanda y ordenar que se formara la oportuna pieza separada para la tramitación del incidente de suspensión, concediendo por providencia de igual fecha, de conformidad con lo dispuesto en el art. 56 LOTC, un plazo común de tres días al Ministerio público y a la parte recurrente para que alegaran lo que estimasen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presentó sus alegaciones el día 2 de diciembre de 2008, entendiendo que no procede acceder a la solicitud de suspensión. Por lo que se refiere a la multa impuesta (120 euros en total), porque el demandante no alega dificultad alguna para hacer frente a su pago. Respecto de la puesta a disposición del promotor de la obra en construcción, porque tampoco se vislumbra daño irreparable alguno para el recurrente por la no suspensión de la ejecución de la Sentencia en este aspecto.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no ha presentado el escrito de alegaciones que le fue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56.2 LOTC, en la redacción dada por la Ley Orgánica 6/2007, de 24 de mayo, cuando la ejecución de la resolución impugnada ocasione al demandante un perjuicio que pudiera hacer perder al amparo su finalidad, podrá disponerse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Conforme a nuestra doctrina, referida a la redacción inicial del art. 56 LOTC y refrendada en relación con la vigente en la actualidad (AATC 99/1999, de 26 de abril, FJ 2; 289/2000, de 11 de diciembre, FJ 2; 230/2001, de 24 de julio, FJ 1; 171/2002, de 30 de septiembre, FJ 1; 413/2003, de 15 de diciembre, FJ 1; 369/2005, de 24 de octubre, FJ 2; 466/2007, de 17 de diciembre; 109/2008, de 14 de abril, FJ 1 y 161/2008, de 23 de junio, FJ 1), la suspensión es una medida provisional de carácter excepcional y de aplicación restrictiva, habida cuenta del interés general en la efectividad de las decisiones de los poderes públicos y, particularmente, en la ejecución de las resoluciones provenientes de los Jueces y Tribunales en el ejercicio de la potestad jurisdiccional que les otorga el art. 117.3 CE, ya que la salvaguarda del interés general que implica la efectividad de aquéllas, amparadas como están por la presunción de veracidad y legalidad, impone, en principio, la aplicación del art. 56.1 LOTC, esto es, la regla general de la no suspensión (por todos, ATC 307/1999, de 13 de diciembre, FJ 1), salvo que, como determina el art. 56.2 LOTC, la ejecución de la Sentencia recurrida ocasione un perjuicio al recurrente “que pudiera hacer perder al amparo su finalidad” y siempre que, como ya se ha indicado, la suspensión no produzca perturbaciones graves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en el análisis del supuesto a que se refiere la presente petición de suspensión, este Tribunal ha establecido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(AATC 291/2004, de 19 de julio y 241/2005, de 6 de junio). Por lo que procede en este caso denegar la suspensión interesada de la pena de multa impuesta de veinte días con una cuota diaria de 6 euros, máxime cuando el recurrente no aduce razón alguna que justifique la procedencia de dicha medida en función de los perjuicios patrimoniales que se le puedan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posible suspensión de la medida civil acordada, la puesta a disposición del promotor de la obra en cuestión, conviene recordar que el recurrente vincula esta petición a la circunstancia de que, de no concederse, se vería impedido del cobro de la deuda. Ahora bien, sin perjuicio de que dicha petición se apoya en presupuestos no acreditados (como la insolvencia del promotor o la venta de los locales y viviendas), el demandante de amparo tiene abierta la posibilidad de interesar las medidas cautelares para garantizar el cobro en el proceso civil ya abierto, por lo que tampoco en este caso observamos que la denegación de la suspensión solicitada le cause perjuicios patrimoniales difícilmente reparables por su entidad o por la irreversibilidad de las situaciones jurídicas que puedan producirse.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