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resoluciones impugnadas exclusivamente en lo referente a la pena privativa de libertad y a la de inhabilitación absoluta de don Unai Mallabia Sánchez, doña Naira Mallabia Sánchez y don Aitor Fernández Terceño.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28 de marzo de 2006, don Javier Cuevas Rivas, en nombre y representación de don Unai Mallabia Sánchez, doña Naira Mallabia Sánchez y don Aitor Fernández Terceño, interpuso recurso de amparo contra la Sentencia de la Sala de lo Penal del Tribunal Supremo, de 14 de febrero de 2006, dictada en el recurso de casación núm. 566-2005P interpuesto contra la Sentencia dictada por la Sección Cuarta de la Sala de lo Penal de la Audiencia Nacional, de fecha 11 de marzo de 2005, que condenó a los recurrentes en amparo, como responsables de un delito de tenencia de aparatos inflamables con finalidad terrorista, con la agravante de uso de disfraz, a la pena de cinco años de prisión e inhabilitación absoluta por seis años más el tiempo de condena, y pago proporcional de las costas, y, como responsables de un delito de daños terroristas, con la citada agravante del art. 22.2 del Código penal (CP), a la pena de dos años y nueve meses de prisión e inhabilitación absoluta por seis años más el tiempo de condena y multa de dos mil euros, y al pago proporcional de las costas. </w:t>
      </w:r>
    </w:p>
    <w:p w:rsidRPr="00C21FFE" w:rsidR="00AD51A7" w:rsidRDefault="00AD51A7">
      <w:pPr>
        <w:rPr/>
      </w:pPr>
      <w:r w:rsidRPr="&lt;w:rPr xmlns:w=&quot;http://schemas.openxmlformats.org/wordprocessingml/2006/main&quot;&gt;&lt;w:lang w:val=&quot;es-ES_tradnl&quot; /&gt;&lt;/w:rPr&gt;">
        <w:rPr/>
        <w:t xml:space="preserve">Por medio de otrosí los recurrentes solicitaron, con fundamento en el art. 56 de la Ley Orgánica del Tribunal Constitucional (LOTC), la suspensión de la ejecución de la Sentencia recurrida por considerar que, en caso contrario, el cumplimiento de la pena privativa de libertad, y accesorias, les ocasionaría un perjuicio muy significado que haría perder al amparo su finalidad, añadiendo que ya habían cumplido más de dos años de prisión y que la suspensión interesada no lesiona los intereses generales ni perjudica legítimos intereses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marzo de 2009 la Sala Segunda de este Tribunal acordó admitir a trámite la demanda de amparo y formar la presente pieza separada de suspensión. Con esa misma fecha acordó igualmente, de conformidad con lo dispuesto en el art. 56 LOTC, conceder un plazo común de tres días a la parte recurrente y al Ministerio Fiscal para que alegaran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mediante escrito registrado el día 12 de marzo de 2009, interesó la denegación de la suspensión solicitada. Luego de recordar la doctrina constitucional en materia de suspensión de Sentencias penales condenatorias y de resumir los principales antecedentes del presente asunto para notar que las penas impuestas a los recurrentes suman siete años y nueve meses de prisión, el Ministerio Fiscal se opone, en primer lugar, a la suspensión de las citadas penas privativas de libertad habida cuenta del criterio, muchas veces subrayado en esa misma doctrina constitucional, que niega con carácter general la suspensión de las penas privativas de libertad superiores a cinco años, así como por razón también de la gravedad y la trascendencia social de los delitos considerados, y el hecho, igualmente significado, de que, encontrándose ya en prisión los recurrentes, la suspensión de la pena privativa de libertad equivaldría a anticipar un eventual fallo estimatorio del presente recurso de amparo. Y respecto del resto de pronunciamientos de la Sentencia, el Fiscal se pronuncia igualmente en contra de su suspensión porque todos ellos son de mero contenido económico y, por tanto, susceptibles de restitución íntegra en caso de un eventual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16 de marzo de 2009 los recurrentes en amparo presentaron su escrito de alegaciones insistiendo en la suspensión interesada que consideran ahora todavía más justificada toda vez que, a esa fecha, ya han cumplido cinco años y nueve meses de prisión y, en consecuencia, solo les resta, dos años por cumplir, un tiempo relativamente breve y que cuadra con el criterio fijado por este Tribunal para acordar la suspensión con carácter general de las penas privativas de libertad inferiores a cinco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del Secretario Judicial se deja constancia de que don Unai Mallabia Sánchez, doña Naira Mallabia Sánchez y don Aitor Fernández Terceño, según información facilitada por los correspondienes centros penitenciarios, extinguirán las penas impuestas en el proceso judicial del que este recurso de amparo trae causa los días 11 de marzo de 2011, 7 de octubre de 2011 y 11 de marzo de 2011 respectivamente.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Ley Orgáncia del Tribunal Constitucional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y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recordábamos en el ATC 466/2007, de 17 de diciembre,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1; 63/2007, de 26 de febrero, FJ 2; y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y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164/2002, de 30 de septiembre, FJ 1; 9/2003, de 20 de enero, FJ 1; 334/2004, de 13 de septiembre, FJ 3; 369/2005, de 24 de octubre, FJ 2; 214/2007, de 16 de abril, FJ 2; y 287/2007, de 18 de junio, FJ 2).</w:t>
      </w:r>
    </w:p>
    <w:p w:rsidRPr="00C21FFE" w:rsidR="00AD51A7" w:rsidRDefault="00AD51A7">
      <w:pPr>
        <w:rPr/>
      </w:pPr>
      <w:r w:rsidRPr="&lt;w:rPr xmlns:w=&quot;http://schemas.openxmlformats.org/wordprocessingml/2006/main&quot;&gt;&lt;w:lang w:val=&quot;es-ES_tradnl&quot; /&gt;&lt;/w:rPr&gt;">
        <w:rPr/>
        <w:t xml:space="preserve">Por tanto, 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sometido a nuestra consideración, aun cuando la importancia de los bienes jurídicos comprometidos se pone de manifiesto a través del establecimiento por el legislador de graves penas para los delitos cometidos, en el momento en el que hemos de resolver la solicitud de suspensión de la ejecución de la Sentencia frente a la que se demanda amparo los demandantes están muy próximos a cumplir las penas en su día impuestas, razón por la cual la suspensión de la ejecución de la Sentencia se revela idónea para preservar la efectividad del amparo que en su día pudiera otorgarse. Así lo hemos hecho también en supuestos semejantes al presente (ATC 466/2007, de 17 de diciembre), en los cuales hemos tomado en consideración, de una parte el tiempo de pena privativa de libertad que restaba por cumplir en el momento de resolver sobre la suspensión solicitada, y de otra, el dato adicional de que la condena no había sido impuesta por la modalidad más grave del delito de que se trate. Esto es lo que acontece también en el presente supuesto en el cual los demandantes no fueron condenados por el tipo delictivo más grave de pertenencia a banda armada sino por la comisión de delitos de daños y de tenencia de explosivos cualificados por la finalidad terrorista (art.  574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procede la suspensión de la pena accesoria de inhabilitación absoluta, pues las penas accesorias han de seguir la misma suerte que la principal (AATC 131/2001, de 22 de mayo, FJ 2; 408/2005, de 21 de noviembre, FJ 2; y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-pena de multa y costas procesales-, de conformidad con el criterio de este Tribunal, al tratarse de condenas de contenido económico, los perjuicios anejos a su ejecución son perfectamente reparables en caso de estimarse el amparo, por lo que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las resoluciones impugnadas exclusivamente en lo referente a la pena privativa de libertad y a la de inhabilitación absoluta de don Unai Mallabia Sánchez, doña Naira Mallabia Sánchez y don Aitor Fernández Terceño.</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Ramón Rodríguez Arribas, respecto al Auto dictado, el 28 de febrero de 2011, en el recurso de amparo núm. 3488-2006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1ª. De acuerdo con el criterio del Ministerio Fiscal la suspensión solicitada debió ser denegada, ya que las penas impuestas inicialmente excedían de los cinco años de privación de libertad que ha sido el criterio seguido por el Tribunal para denegar la suspensión, los delitos por los que se impusieron tienen patente gravedad y trascendencia social y, además, la suspensión equivale a anticipar un eventual fallo estimatorio del recurso de amparo.</w:t>
      </w:r>
    </w:p>
    <w:p w:rsidRPr="00C36767" w:rsidR="00AD51A7" w:rsidRDefault="00AD51A7">
      <w:pPr>
        <w:rPr/>
      </w:pPr>
      <w:r w:rsidRPr="&lt;w:rPr xmlns:w=&quot;http://schemas.openxmlformats.org/wordprocessingml/2006/main&quot;&gt;&lt;w:lang w:val=&quot;es-ES_tradnl&quot; /&gt;&lt;/w:rPr&gt;">
        <w:rPr/>
        <w:t xml:space="preserve">2ª. Aparte de que el criterio de los cinco años de pena de privación de libertad, es ya en sí mismo muy discutible, el aplicarlo no a la pena impuesta, sino al resto de la que quede por cumplir, aunque se haya hecho en algunos casos, tiene mucho menor fundamento, ya que viene a ignorar la gravedad de los hechos cometidos, la repulsa social que provocaron y el derecho de las víctimas, lo que es particularmente acusado en el caso de delitos de terrorismo.</w:t>
      </w:r>
    </w:p>
    <w:p w:rsidRPr="00C36767" w:rsidR="00AD51A7" w:rsidRDefault="00AD51A7">
      <w:pPr>
        <w:rPr/>
      </w:pPr>
      <w:r w:rsidRPr="&lt;w:rPr xmlns:w=&quot;http://schemas.openxmlformats.org/wordprocessingml/2006/main&quot;&gt;&lt;w:lang w:val=&quot;es-ES_tradnl&quot; /&gt;&lt;/w:rPr&gt;">
        <w:rPr/>
        <w:t xml:space="preserve">3ª. Tampoco puedo compartir las argumentaciones que se contienen en el fundamento jurídico 3 del Auto del que discrepo, en cuanto se refieren a que la condena no había sido impuesta por la modalidad más grave del delito del que se trata, ya que se refirió a delitos de daños y de tenencia de explosivos con fines terroristas y no al de pertenencia a banda armada, criterio, que viene a sentar la resolución y que, aunque sea inconscientemente y para justificar la inmediata puesta en libertad de los condenados, supone una minimización de la gravedad de los hechos, puesto que la tenencia de explosivos, reconocida como dirigida a la posible comisión de atentados, reviste por sí misma una evidente gravedad que debió conducir a denegar la medida, cualquiera que fuera el tiempo que restara para el cumplimiento íntegro de la condena.</w:t>
      </w:r>
    </w:p>
    <w:p w:rsidRPr="00C36767" w:rsidR="00AD51A7" w:rsidRDefault="00AD51A7">
      <w:pPr>
        <w:rPr/>
      </w:pPr>
      <w:r w:rsidRPr="&lt;w:rPr xmlns:w=&quot;http://schemas.openxmlformats.org/wordprocessingml/2006/main&quot;&gt;&lt;w:lang w:val=&quot;es-ES_tradnl&quot; /&gt;&lt;/w:rPr&gt;">
        <w:rPr/>
        <w:t xml:space="preserve">Madrid, a veintiocho de febrero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