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noviembre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5881-2011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5881-2011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30 de octubre de 2011, el Procurador de los Tribunales don José Andrés Peralta de la Torre interpuso recurso de amparo, en nombre y representación de Hartos.org, contra la resolución de la Junta Electoral Provincial de Barcelona, de 25 de octubre de 2011, confirmada por la Sentencia de 28 de octubre de 2011, dictada por el Juzgado de lo Contencioso-Administrativo núm.12 de Barcelona en el recurso contencioso electoral núm. 542-2011.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formación política Hartos.org interpuso recurso contencioso-electoral contra el acuerdo de la Junta Electoral Provincial de Barcelona de 25 de octubre de 2011, por el que se denegaba la proclamación de sus candidaturas a las elecciones generales a celebrar el 20 de noviembre de 2011, al no haber cumplido dicho partido, que no obtuvo representación parlamentaria en los anteriores comicios, el requisito establecido en el art. 169.3 de la Ley Orgánica 5/1985, de 19 de junio, del régimen electoral general (LOREG) en la redacción dada por la Ley Orgánica 2/2011, de 28 de enero. El motivo de la denegación residió en que, siendo 4.028 avales el mínimo requerido, correspondiente al 0,1 por 100 de los electores inscritos en el censo electoral de la circunscripción, Hartos.org aportó únicamente 2.919 apoyos, de los cuales se rechazaron un total de 1.883 (por figurar por duplicado, por falta de datos o de firma, por corresponder a personas menores de edad, por estar inscritos fuera del ámbito territorial, por estar inscritos en censos ajenos o por no estar inscritos en el censo electoral, entre otras causas).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contencioso-electoral se alegaba que tanto la modificación operada por la Ley Orgánica 2/2011, de 28 de enero, como la instrucción 7/2011, de 15 de septiembre, de la Junta Electoral Central, no podían aplicarse a este proceso electoral, pues lo contrario implicaría su vigencia retroactiva; que el requisito de presentación de avales a las candidaturas que no hubiesen obtenido representación en anteriores elecciones resulta contrario al pluralismo político, al derecho fundamental de acceso a las funciones y cargos públicos y al principio de igualdad entre candidaturas, sin que pueda identificarse una justificación razonable, objetiva y proporcionada de tal discriminación, y que el proceso de obtención de avales supone una infracción de la confidencialidad de los datos de los militantes y simpatizantes y una infracción consiguiente del derecho a no declarar sobre la propia ideología. Se invocaban, en suma, los arts. 14, 16.2 y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Sentencia de 28 de octubre de 2011 del Juzgado Contencioso-Administrativo núm. 12 de Barcelona desestima el recurso contencioso-electoral. Razona que la convocatoria de las elecciones se produjo por Real Decreto 1329/2011, de 26 de septiembre, netamente posterior a la modificación legislativa citada. Añade después que, independientemente de que la Junta Electoral Provincial hubiera rechazado parte de los avales presentados, la no proclamación se produce realmente por la ausencia de avales suficientes (ya que se aportaron un total de 2.919 avales, de los que fueron rechazados 1.883, y el mínimo requerido era de 4.028), de forma que resultaría irrelevante la instrucción de la Junta Electoral Central a la que hacía referencia la demanda, en la medida en que el obstáculo que impide la proclamación de la candidatura es el incumplimiento del mínimo establecido por la ley, defecto no subsanable.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puede entender, dice la resolución judicial, que la introducción de un requisito consistente en la exigencia de avales a algunas candidaturas sea inconstitucional, pues obedece a la necesidad de que las candidaturas respondan a un mínimo de representatividad social. En ese contexto, concluye, no se produce la vulneración de los arts. 23.2 y 14 CE, puesto que la exigencia de un aval mínimo por parte del cuerpo electoral puede admitirse como condición de operatividad del sistema electoral. Y razona, en cuanto a la alegación restante (art. 16.2 CE), que la parte actora no acredita un interés específico que le legitime para mantener esa pretensión, que en todo caso sería de los ciudadanos que se encuentren en la tesitura de avalar una candidatura, y que la confidencialidad de los datos personales tampoco es un valor absoluto, de manera que si el ciudadano presta voluntariamente el aval y cede un dato personal para un uso que no es público, sino restringido a la Administración electoral, no cabe apreciar la lesión aducida.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margen de otras consideraciones que realiza sobre las vicisitudes del proceso (críticas por incoherencia e ineficacia de la Junta Electoral Central, por la intervención del Instituto Nacional de Estadística y por lo privilegios que considera que benefician a los partidos parlamentarios), la demanda de amparo sitúa la vulneración de derechos fundamentales en distintos planos. A su juicio, el art. 169.3 de la Ley Orgánica 5/1985, de 19 de junio, del régimen electoral general (LOREG) en la redacción dada por la Ley Orgánica 2/2011, de 28 de enero, supone una quiebra del pluralismo político (art. 1.1 CE), obviándose que el art.6 CE no diferencia a aquellos partidos que obtienen representación en las Cortes Generales de los restantes. A partir de ello, denuncia la lesión del art. 23.2 CE, pues supone una traba en el derecho a participar en los asuntos públicos, directamente o por medio de representantes, ya que sólo se podrá optar a la elección de dichos representantes si superan el requisito previo de aportar las firmas requeridas. La obligatoria obtención de avales supone de facto la limitación de opciones políticas, ya que la recogida de avales de ciudadanos que circulan por espacios públicos en solo veinte días, afirma, limita de forma considerable el número de ciudadanos censados para poder avalar a un partido. Considera asimismo lesionado el art. 14 CE (del que se infiere que no puede existir un diferente trato en función de resultados electorales previos), y, añade, también el art. 16.2 CE (pues aquel precepto legal, como la instrucción 7/2011, de 15 de septiembre, de la Junta Electoral Central, permite a los ciudadanos manifestar el apoyo a una única candidatura, obligándoles a manifestar la propia ideología sin el amparo del anonimato que otorga el voto secreto en la jornada electoral; lo mismo que obliga a las formaciones políticas a ofrecer datos personales de los avalistas, vulnerando la confidencialidad de sus militantes, afiliados, simpatizantes o personas que han decidido apoyar la candidatura puntualmente).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lo expuesto, interesa la anulación de la resolución judicial impugnada y el acuerdo de la Junta Electoral Provincial que la misma confirma, con la consiguiente proclamación de las candidaturas de Hartos.org, en la circunscripción de Barcelona, así como la declaración de la nulidad de la nueva redacción dada al art. 193.2 LOREG (sic) y del Decreto de convocatoria de las elecciones generales del 20 de noviembre de 2011, exigiendo una nueva convocatoria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quiera que el recurso se dirigía formalmente contra diversas resoluciones judiciales que confirmaron acuerdos de distintas Juntas Electorales Provinciales, no únicamente de la de Barcelona, por diligencia de ordenación de 30 de octubre de 2011 de la Secretaría de la Sección Primera del Tribunal se puso en conocimiento del Procurador don José Andrés Peralta de la Torre que no era posible recurrir en un solo recurso de amparo resoluciones judiciales dictadas en procesos diferentes, acordándose tener por interpuesto el presente recurso de amparo exclusivamente contra la Sentencia núm. 325/2011, dictada por el Juzgado de lo Contencioso-Administrativo núm. 12 de Barcelona, en el recurso contencioso-electoral núm. 542-2011, con indicación de que, si lo deseare, podía interponer en el plazo de veinticuatro horas tantos recursos de amparo como resoluciones pretendiese recurrir.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la no proclamación de la candidatura del partido recurrente al no haberse adjuntado los avales exigidos por el art. 169.3 de la Ley Orgánica del régimen electoral general (LOREG), en la redacción dada por la Ley Orgánica 2/2011, de 28 de enero, ha vulnerado el derecho a acceder en condiciones de igualdad a las funciones y cargos públicos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 pesar de la diversidad de preceptos constitucionales invocados, para una adecuada delimitación de este recurso de amparo se debe recordar que la invocación genérica del principio de igualdad (art. 14 CE) ha de entenderse subsumida, de acuerdo con reiterada doctrina constitucional, en el derecho de acceso a los cargos públicos (art. 23.2 CE), que es el que, en su caso, pudiera haber resultado directamente transgredido (por todas, STC 193/1989, de 16 de noviembre, FJ 3). A esa misma conclusión debe llegarse en relación con las invocaciones al valor superior del pluralismo político (art. 1.1 CE), que expresan los partidos políticos (art. 6 CE), toda vez que, al margen de no tratarse de derechos susceptibles de amparo constitucional, también pueden ser reconducidos en los términos en que han sido alegados en la demanda al parámetro de control dispensado por la invocación del derecho fundamental previsto en el art. 23.2 CE. Finalmente, la demanda de amparo invoca el art. 16.2 CE, que recibirá respuesta particularizada en el fundamento jurídico 4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también debe señalarse que, aunque la demanda se dirige formalmente contra el acuerdo de la Junta Electoral Provincial de no proclamación de la candidatura del partido recurrente y contra la resolución judicial que la ha confirmado, lo que se cuestiona es si el requisito legal impuesto por el art. 169.3 LOREG para la presentación de candidaturas por partidos políticos, federaciones o coaliciones que no hubieran obtenido representación parlamentaria en la anterior convocatoria electoral resulta lesivo o no del derecho al acceso a los cargos públicos, que es el real objeto de este recurso de amparo, con las limitaciones propias que impone este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destacarse, por otra parte, que aunque el recurso parece censurar asimismo la instrucción de la Junta Electoral Central 7/2011, de 15 de septiembre, y la resolución del Presidente de la Junta Electoral Central, de 20 de octubre de 2011, el objeto de este procedimiento constitucional no puede comprenderlas, ya que su impugnación no puede efectuarse a través del recurso de amparo electoral. Como señalamos en la STC 112/2007, de 10 de mayo, FJ 2, “[l]a ‘modalidad específica de recurso de amparo’ (SSTC 71/1986, de 31 de mayo, y 1/1988, de 13 de enero) que articuló la Ley Orgánica del régimen electoral general, se prevé, de modo expreso, como cauce de amparo frente a las resoluciones de las que conoció o que dictaron los Juzgados de lo Contencioso-Administrativo en recursos frente a la proclamación de candidaturas y candidatos (arts. 49.3 y 4 LOREG) o también, por vía de remisión explícita, frente a las resoluciones dictadas por la Sala del Tribunal Supremo regulada en el art. 61 LOPJ) cuando de lo que se trata es de recurrir frente a la proclamación o exclusión de candidaturas presentadas por las agrupaciones de electores a que se refiere el art. 44.4 de la propia Ley Orgánica del régimen electoral general (es decir, conforme a este último precepto, aquéllas que vengan a continuar o suceder la actividad de un partido político declarado judicialmente ilegal y disuelto, o suspendido)”, por lo que, con independencia de otras consideraciones, es claro que, al no tener por objeto directo las referidas instrucción 7/2011, de 15 de septiembre, y resolución del Presidente de la Junta Electoral Central, de 20 de octubre de 2011, la proclamación de candidaturas, no pueden ser objeto de un recurso de amparo electoral. Y por esta razón no van a ser objeto de examen las alegaciones que se refieren a las infracciones constitucionales que se imputan a esta resolución, sin perjuicio de las conclusiones que la Junta Electoral Central pueda extraer de lo aquí señalado.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todavía con carácter previo, convendrá subrayar que a pesar de que el recurso realiza diversas consideraciones sobre lo que califica como falta de eficacia de la Administración de la Junta Electoral Central (censurando el cambio de criterio que, a su juicio, habría operado la resolución del Presidente de 20 de octubre antes citada respecto de la instrucción 7/2011, de 15 de septiembre, en lo relativo a las “insuficiencia de avales”), lo cierto es que, más allá de lo señalado en el párrafo anterior, se advierte que el recurrente no formula queja alguna respecto de las posibilidades de subsanación con las que contó en el caso concreto, no pudiéndosele extender, en consecuencia, la doctrina sentada en la STC 162/2011, de 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la eventual inconstitucionalidad de esta exigencia de avales ya ha sido objeto de pronunciamiento por parte de este Tribunal en la STC 163/2011, de 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 Sentencia, se recuerdan las líneas esenciales de la doctrina constitucional sobre el derecho a acceder en condiciones de igualdad a los cargos públicos con los requisitos que señalen la leyes (art. 23.2 CE), en el que se incluye el derecho a presentar candidaturas y a presentarse como candidato en las diversas convocatorias electorales si se cumplen los requisitos legalmente establecidos al efecto. Así, se pone de manifiesto que es un derecho que confiere al legislador un amplio margen para configurar el sistema electoral, con las limitaciones que imponen, por un lado, que el ejercicio de ese derecho se apliquen a todos los ciudadanos por igual, sin obstáculos para que se concurra en idénticas condiciones legales ni diferencias injustificadas o irrazonables en la aplicación de las condiciones legales, y, por otro, que se respete el contenido sustantivo propio que impone el concepto constitucional de representación política (FJ 3). En virtud de ello, se incide en la Sentencia en que, con independencia de que la exigencia de avales no esté expresamente prevista en la Constitución, su eventual contradicción con el art. 23.2 CE sólo dependerá de que se hayan sobrepasado las limitaciones impuestas al legislador respecto de su carácter no discriminatorio o contrario al principio de representación política, no convirtiendo este requisito en arbitrario el hecho de que el legislador no haya explicado de manera suficiente las razones de su decisión legislativa, lo que sólo puede concluirse de su contraste con el texto 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también se destaca en el fundamento jurídico 5 de la mencionada Sentencia que este Tribunal ha reiterado que la libertad de presentación de candidaturas por los partidos no es absoluta, pudiendo ser limitada por el legislador en atención a valores y bienes constitucionales protegidos, por lo que lo relevante para determinar la constitucionalidad de la exigencia de avales controvertida, como requisito limitativo a la presentación de candidaturas, es si tiene o no un fundamento constitucional que la justifique. A esos efectos, se recuerda que la exigencia de avales ni es inédita en los ordenamientos de países de nuestro entorno, ni tampoco en nuestro propio ordenamiento, en que se establece para las elecciones al Parlamento Europeo la necesidad de que los partidos, coaliciones, federaciones y agrupaciones de electores presenten la firma de 15.000 electores o la firma de cincuenta cargos electos (arts. 220.3 y 4 LOREG) y también en relación con las agrupaciones de electores, a las que se exige para las elección al Congreso de los Diputados y al Senado en el mismo art. 169.3 LOREG un porcentaje de firmas del 1 por 100, lo que el Tribunal Europeo de Derechos Humanos, en su decisión de 9 de mayo de 1994, caso J.A. Serqueda c. España, no consideró contrario al Convenio europeo para la protección de los derechos humanos y de las libertades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partir de todo lo expuesto, en la citada STC 163/2011, de 2 de noviembre, este Tribunal ha concluido que la necesidad de obtención de avales establecida en el art. 169.3 LOREG no vulnera el derecho de acceso en condiciones de igualdad a las funciones y cargos públicos (art. 23.2 CE), ya que “constituye una limitación objetiva no carente de fundamento constitucional, pues obedece a la consecución de un valor o bien constitucionalmente protegido, como es el de la racionalización y perfeccionamiento de la organización y desarrollo del proceso electoral, a través del cual se articula la representación política, cuyo adecuado funcionamiento puede verse efectivamente afectado por la excesiva proliferación de candidaturas carentes, por las razones que fueran, de respaldo o arraigo en el cuerpo electoral” (FJ 6). Del mismo modo, se señala que “el requisito establecido en el art. 169.3 LOREG, además de atender a la racionalización y perfeccionamiento del procedimiento electoral en lo que se refiere a los recursos públicos destinados a su celebración y a la complejidad de su organización, también podría favorecer la clarificación de la oferta electoral, mediante la exclusión de aquellas candidaturas que, en el momento de su presentación, no sean capaces de acreditar, con la firma de los electores, un mínimo respaldo o arraigo en la circunscripción en la que pretenden presentarse. Asimismo cabe pensar que el requisito en cuestión podría evitar la dispersión del voto entre opciones partidarias que son expresión de una misma orientación o corriente ideológica, al facilitar, mediante la referida exclusión de candidaturas que no alcancen ese mínimo arraigo en el cuerpo electoral, que las opciones partidarias con respaldo suficiente que sean expresión de orientaciones o corrientes ideológicas minoritarias puedan superar la barrera electoral que permite obtener representación parlamentaria (STC 48/2003, de 12 de marzo, FJ 5), lo que contribuye a preservar el valor constitucional del pluralismo político (art. 1.1 CE), del que los partidos políticos son expresión principalísima”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ha expuesto en dicha Sentencia que la situación de desigualdad por limitar la exigencia de avales a los partidos que no hubieran obtenido en la anterior convocatoria electoral representación parlamentaria “no está desprovista desde la perspectiva del art. 23.2 CE de una justificación objetiva y razonable, ya que la obtención de representación parlamentaria en la última convocatoria electoral acredita que los partidos políticos que la han alcanzado gozan o, al menos, han gozado, de un respaldo o arraigo en el cuerpo electoral con ocasión de la celebración de un proceso electoral del que carecen los partidos políticos que, habiéndose presentado al mismo proceso electoral, no han tenido representación y que se desconoce que tengan o puedan tener aquellos partidos políticos que no han concurrido a la anterior convocatoria electoral. Entre unos partidos políticos y otros existe, por tanto, un elemento diferenciador (haber obtenido o no representación en cualquiera de las Cámaras de las Cortes Generales) que, en atención a las finalidades legítimas a las que sirve el requisito del art. 169.3 LOREG, constituye una justificación objetiva y razonable del distinto trato que el legislador dispensa a uno y a otros en relación con dicho requisito”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también en dicha Sentencia este Tribunal ha descartado que este requisito legal de obtención de avales del 0,1 por 100 pueda ser considerado desproporcionado puesto en relación tanto con la exigencia del 1 por 100 de avales a las agrupaciones electorales para presentar candidaturas en las elecciones al Congreso de los Diputados y al Senado (art. 169.3 LOREG) y en las elecciones municipales (art. 187.3 LOREG) como con la exigencia de 15.000 firmas a los partidos políticos, coaliciones, federaciones y agrupaciones de electores para la presentación de candidaturas en las elecciones al Parlamento Europeo (art. 214 LOREG). Del mismo modo se descarta que concurra desproporción alguna de esta exigencia de avales puesta en relación con el plazo concedido por las juntas electorales, de conformidad con lo dispuesto en la instrucción 7/2011, de 15 de septiembre de la Junta Electoral Central, relativa al procedimiento de acreditación de firmas de apoyo de candidaturas, que se extiende desde la convocatoria electoral correspondiente hasta la finalización del plazo de presentación de candidaturas (apartado quinto)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margen de lo anterior, en el fundamento jurídico 8 de la mencionada STC 163/2011, de 2 de noviembre, y en relación con la eventual incidencia que tendría la exigencia de avales en el derecho a no ser obligados a declarar sobre la propia ideología (art. 16.2 CE), este Tribunal ha destacado que quien voluntariamente decide apoyar con su firma la presentación de una candidatura ni está siendo obligado a declarar sobre su ideología ni tampoco equivale a manifestar una inequívoca adhesión ideológica a la misma. Del mismo modo, también se descarta que los datos personales que han de facilitar a la Administración electoral para avalar una candidatura —nombre y apellidos, documento nacional de identidad y circunscripción electoral en la que se esté censado— afecten a la intimidad de los avalistas o a su derecho a no declarar sobre su ideología. A esos efectos, se pone de manifiesto que, conforme a reiterada doctrina constitucional, entre los aspectos básicos de la vida privada protegidos por la intimidad, a la ideología y creencias, no se encuentran los datos referentes a la participación en la vida política, por ser una actividad cuya propia naturaleza se desarrolla en la esfera pública, con excepción del derecho de sufragio activo, dado el carácter secreto del voto (por todas, STC 85/2003, de 8 de mayo, FJ 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atención a lo expuesto, teniendo en cuenta que en el presente recurso de amparo, tal como se ha expuesto más detalladamente en los antecedentes, el partido recurrente ha impugnado el acuerdo de la junta electoral de no proclamación de su candidatura —y la resolución judicial que confirmó su adecuación a derecho—, que se fundamentó en el incumplimiento de la exigencia de avales prevista en el art. 169.3 LOREG y que dicho precepto no puede ser considerado lesivo del art. 23.2 CE, procede inadmitir la presente demanda de amparo electoral por inexistencia de violación de un derecho fundamental tutelable en amparo que, de acuerdo con el art. 43.1 de la Ley Orgánica del Tribunal Constitucional (LOTC), es requisito para que este Tribunal pueda ejercer dicha tutela. En consecuencia, el presente recurso incurre en el supuesto de inadmisión previsto en el art. 50.1 a) en relación con el art. 43.1, ambos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noviembre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