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1525-2002, planteada por la Sección Primera de la Sala de lo Contencioso-Administrativo de la Audiencia Nacional respecto de la disposición adicional vigésima tercera de la Ley 24/2001, de 27 de diciembre, de medidas fiscales, administrativas y del orden social. Han intervenido el Fiscal General del Estado y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2002 tuvo entrada en el Registro General de este Tribunal un escrito de la Sección Primera de la Sala de lo Contencioso-Administrativo de la Audiencia Nacional al que se acompaña, junto al testimonio de las actuaciones del procedimiento ordinario núm. 16.251-1985, el Auto de 22 de febrero de 2002 del referido órgano judicial, por el que se acuerda plantear cuestión de inconstitucionalidad respecto de la disposición adicional vigésima tercera, sobre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 la retroactividad de la norma con afección del principio de seguridad jurídica; y con el art. 24.1 CE en relación con los arts. 33.3,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procedimiento de ejecución de la Sentencia de la Sección Primera de la Sala de lo Contencioso-Administrativo de la Audiencia Nacional de 10 de febrero de 1988, que estimó la pretensión de la agrupación de electores Herri Batasuna de que se le abonara la cantidad de 4.919.500 pesetas, más los intereses legales, en concepto de subvención por los gastos derivados de las elecciones generales celebradas el 28 de octubre de 1982 en la provincia de Vizcaya. Frente a la alegación del Abogado del Estado de que la no adquisición de la plena condición de Diputado por la negativa a acatar la Constitución privaba a los recurrentes del derecho a obtener las subvenciones devengadas en el período electoral, la Sala que ahora eleva la cuestión de inconstitucionalidad consideró que el requisito para la percepción de dichas subvenciones era la simple participación en el proceso electoral y la obtención de escaño, resultando jurídicamente indiferente la actitud ulterior de quienes resultaron elegidos Diputados cuando no prestasen el oportuno juramento o promesa de acatamiento a la Constitución. Lo razonaba en que las subvenciones electorales se destinan a subvenir los gastos electorales en sentido estricto. Previa solicitud de la parte actora, la resolución fue corregida mediante Auto del mismo órgano judicial, de 1 de marzo de 1988, en el sentido de incluir en el fallo de la referida Sentencia el derecho al abono de los intereses legales devengados.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Sentencia el Abogado del Estado interpuso recurso de apelación que fue desestimado por Sentencia de 29 de enero de 1990 de la Sala de lo Contencioso-Administrativo del Tribunal Supremo, que confirmó la de la Audiencia Nacional en todos sus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Solicitada por la agrupación de electores Herri Batasuna la ejecución de la Sentencia, la Sala de lo Contencioso-Administrativo de la Audiencia Nacional dictó una primera providencia de 24 de abril de 1990 acordando dirigirse al Ministerio del Interior para que comunicara las medidas adoptadas para tal ejecución. A la anterior siguieron otras muchas resoluciones dirigidas a obtener la ejecución de la Sentencia, dando lugar durante los siguientes años a contestaciones de la Administración en las que se planteaban distintos obstáculos para llevar a cabo el cumplimiento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4 de enero de 2002 el Abogado del Estado presentó ante la Audiencia Nacional un escrito en el que daba cuenta de la publicación —en el “Boletín Oficial del Estado” de 31 de diciembre de 2001— de la Ley 24/2001, de 27 de diciembre, de medidas fiscales, administrativas y del orden social, cuya disposición adicional vigésima tercera, dedicada al “pago de subvenciones a partidos políticos”, hacía imposible la ejecución de la Sentencia, por lo que solicitaba su suspensión al amparo del art. 105.2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 la Audiencia Nacional consideró que el citado precepto pudiera contravenir varios artículos de la Constitución, por lo que, mediante providencia de 24 de enero de 2002, abrió un plazo para que las partes y el Ministerio Fiscal pudieran alegar al respecto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mediante escrito de alegaciones de 31 de enero de 2001, rechazó la inconstitucionalidad de la norma señalando que ningún precepto constitucional establece que la materia objeto de la disposición, las subvenciones electorales, deba ser regulada por ley orgánica. Entendía que no hay expropiación, pues se trata de una subvención pública que puede restringirse libremente. Negaba asimismo que la norma tuviera carácter retroactivo constitucionalmente vedado. El escrito concluía solicitando que se declarara no haber lugar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sucesión procesal de la agrupación de electores, con fecha de 4 de febrero de 2002 formuló sus alegaciones señalando en primer lugar que la norma cuya validez debe discutirse no es la disposición adicional reseñada, en su globalidad, sino tan sólo en su apartado primero. En segundo lugar, considera que, de todas formas, la norma no es aplicable al caso, ya que el precepto cuestionado no establece sus efectos retroactivos ni éstos pueden deducirse de la disposición transitoria sexta de la Ley de enjuiciamiento civil, por no tratarse de un supuesto de ejecución forzosa. La norma, a su entender, sólo puede referirse a resoluciones judiciales que se dicten con posterioridad a su entrada en vigor. En todo caso cree que sería constitucionalmente ilegítima una interpretación de la norma que conllevara su incidencia en efectos jurídicos ya producidos, por contravención de lo dispuesto en el art. 9.3 CE. Expone también que no cabe centrar el debate procesal en si la subvención se devengó o no pese a no haber tomado posesión los electos, pues eso supondría retomar el debate central del procedimiento previo, en contra del principio de cosa juzgada. Por último, en tercer lugar y con carácter subsidiario, considera que la norma, aun no siendo aplicable, vulnera el art. 81 CE, al regular mediante ley ordinaria materias objeto de ley orgánica, esencialmente el derecho de participación política; así como el art. 24.1 CE, en cuanto la ejecución de las sentencias forma parte del derecho fundamental a la tutela judicial efectiva. También argumenta que se lesiona el art. 33 CE, dado el carácter expropiatorio de la norma, que no incluye la correspondiente indemnización. El escrito concluía sosteniendo la no pertinencia de plantear la cuestión de inconstitucionalidad, por no ser aplicable la norma al caso y, subsidiariamente, para el caso en el que el juzgador lo estimara oportuno, se postulaba la inconstitucionalidad de la citada disposición por contravenir los arts. 9.3, 14, 33.1, 81.1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en sus alegaciones con fecha de 11 de febrero de 2002, sin prejuzgar sobre el fondo de la cuestión, consideró oportuno el planteamiento de la cuestión por la Sala, al tratarse de una norma aplicable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de lo Contencioso-Administrativo de la Audiencia Nacional, mediante Auto de 22 de febrero de 2002, acordó “plantear cuestión de inconstitucionalidad respecto de la disposición adicional vigésima tercera, ‘pago de subvenciones a partidos políticos’ de la Ley 24/2001, de 27 de diciembre, de medidas Fiscales, Administrativas y del Orden Social, al dudarse de la constitucionalidad de la norma por las siguientes razones: A) Vulneración del art. 81.1 CE, al regular y modificar mediante ley ordinaria materias objeto de ley orgánica, B) Vulneración del art. 9.3 de la CE al establecerse la retroactividad de la norma con afección del principio de seguridad jurídica, C) Vulneración del art. 24.1 de la CE en relación con el art. 117.3, 118 y 33.3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razonamientos jurídicos de la resolución se indica que la cuestión se limita al apartado primero de la disposición reseñada. La finalidad del precepto, se señala, es la de no pagar en ningún caso subvenciones devengadas o que se devenguen a las formaciones que no justifiquen la adquisición por los electos pertenecientes a las mismas de la condición plena, en este caso, de Diputado o Senador. Y ello aunque el devengo derive de su reconocimiento por resolución judicial firme. Se añade que del texto del precepto se infiere que el legislador quiere excluir el pago de la subvención intemporalmente, aunque esté reconocido por sentencia firme anterior al dictado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reserva de ley orgánica, la Sala entiende que la regulación del régimen de subvenciones de la financiación electoral constituye un elemento esencial del sistema, en cuanto contribuye a garantizar la transparencia e igualdad de concurrencia en el proceso electoral y que, por ello, debería ser regulado por ley orgánica. Se trata de una regulación que altera sustancialmente el sistema de subvención. Junto a ello considera que en cuanto se opone a lo establecido en el art. 18.2 de la Ley Orgánica del Poder Judicial (LOPJ) también queda sometido a la indicada reserva. En efecto, la Sala considera que dicho artículo regula la ejecución de Sentencias, que forma parte del derecho a la tutela judicial efectiva; frente a ello, el precepto cuestionado no se limita a establecer una nueva causa legal de imposibilidad de ejecución, sino que además lo hace “sin indemnización alguna”, alterando la esencia del desarrollo legislativo del derecho fundamental, por lo que debió tener carácter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Auto considera que el precepto podría violar el art. 9.3 CE pues si bien es cierto que el legislador goza de un amplio margen de libertad a la hora de determinar el alcance retroactivo de las leyes, también lo es que la Constitución establece ciertos límites a dicha retroactividad. En concreto, al dejar sin contenido un derecho ya consumado conforme a la normativa anterior, el nuevo precepto viene a lesionar la seguridad jurídica. Citando la doctrina de la STC 65/1987, la Sala recuerda que la Constitución prohíbe la retroactividad entendida como incidencia de la nueva ley en los efectos ya producidos de situaciones anteriores. Esta retroactividad plena lesiona el principio de seguridad jurídica conforme a las SSTC 173/1996 y 234/2001. En el caso, además, a la vista de que el objetivo de la norma se orienta al futuro, para potenciar la participación política de quienes resulten efectivamente elegidos, el órgano que plantea la cuestión de inconstitucionalidad considera que la limitación no era necesaria para la protección de intereses públicos de preferente atención ni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aborda la vulneración del art. 24.1 CE. En virtud de este precepto constitucional, puesto en relación con los arts. 117.3 y 118 CE, la obligatoriedad del cumplimiento de las resoluciones judiciales vincula a los poderes públicos de tal manera que, en aplicación del principio de exclusividad del Poder Judicial en el ejercicio de la función jurisdiccional, impide que el legislador pueda interferir en la resolución de litigios fenecidos. Con cita de la STC 73/2000, la Sala argumenta que el sacrificio de situaciones subjetivas amparadas por la cosa juzgada exige un interés legal que reclame proporcionadamente tal sacrificio, lo que no se da en este caso, y requiere también la garantía expropiatoria contenida en el art. 33.3 CE, prevista para la ablación tanto de la propiedad como de bienes y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Constitucional, por providencia del día 7 de mayo de 2002, acordó admitir a trámite la presente cuestión de inconstitucionalidad y dar traslado de las actuaciones recibidas, conforme al art. 37.2 de la Ley Orgánica del Tribunal Constitucional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Se ordenó también la publicación de la incoación de la cuestión en el “Boletín Oficial del Estado”, lo que tuvo lugar el 21 de mayo de 2002 (ejemplar núm. 121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su Presidenta, ingresado el día 23 de mayo de 2002 en el Registro General de este Tribunal, se dio traslado del acuerdo de 21 de mayo de 2002 de la Mesa del Congreso de los Diputados de comunicar al Tribunal Constitucional que aun cuando no se personaría en el presente procedimiento ni formularía alegaciones, ponía a su disposición cuantas actuaciones se puedan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Mesa del Senado en su reunión de 21 de mayo de 2002 acordó dar por personada a esa Cámara en el presente procedimiento y por ofrecida su colaboración a los efectos del art. 88.1 LOTC, lo que comunicó su Vicepresidente Primero mediante el oportuno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el día 31 de mayo de 2002 ante el Registro General de este Tribunal escrito de alegaciones oponiéndose a la presente cuestión de inconstitucionalidad. En el mismo comienza señalando que, delimitada la cuestión en el sentido de que se refiere al apartado primero del precepto cuestionado, no existe objeción formal alguna a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por tanto, en el fondo comienza por exponer que, a su parecer, de la jurisprudencia constitucional no se deriva que la exigencia de ley orgánica se amplíe a cualquier norma jurídica relacionada con las elecciones sino tan sólo a aquellos extremos que son imprescindibles al propio proceso electoral y sin los cuales éste no podría ser reconocido como legítimo. Considera que las subvenciones dadas a los partidos políticos son instrumentos complementarios pero bien diferenciados del mecanismo electoral propiamente dicho, sin que su previsión ni su cuantía afecten de manera primaria y nuclear a la libertad de sufragio ni a la fidelidad de sus resultados. Si todo lo que contribuye a garantizar la igualdad en la concurrencia electoral quedara reservado a la ley orgánica, no habría materia electoral alguna que no se incluyera en tal reserva. Considera también el Abogado del Estado que del planteamiento de la Sentencia del Tribunal Supremo en el asunto de autos se desprende que la subvención constituye un crédito común para determinados gastos, desconectado de toda finalidad electoral. En cuanto a las argumentaciones del Auto relativas a la conexión entre el precepto cuestionado y el art. 18.2 LOPJ, el escrito señala que se remiten en realidad al derecho a la propiedad (art. 33.3 CE) y no al de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posible vulneración del art. 9.3 CE, el Abogado del Estado sostiene que el reproche de inconstitucionalidad se basa en la seguridad jurídica, de modo que se trata de indagar sobre el daño causado a los beneficiarios de la subvención en cuanto pudieron creer en la misma y decidirse, por ello, a participar en la elección. Al respecto señala que las precisiones subvencionales de los textos legales no pueden aislarse de la finalidad última perseguida por la ordenación del derecho de sufragio, que atiende a una función esencial para la organización del Estado. Entiende que a la luz de las previsiones del Real Decreto-ley 20/1977, de 18 de marzo y de la Ley de 1988 (entiéndase la Ley 54/1978, de 4 de diciembre) aplicables a las elecciones, al Abogado del Estado no le cabe duda de que nadie podría representarse la idea de que la subvención constituía un objetivo puramente compensador de unos gastos derivados de la participación en una elección, dejando de considerar que todo proceso electoral persigue un fin de ordenación e integración de las instituciones. A su juicio, el hecho de que la Audiencia Nacional y el Tribunal Supremo interpretaran después la ley en el sentido de que no era exigible tal integración no afecta en nada, pues lo importante es la previsibilidad que se desprendía del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escrito de alegaciones aborda el tercer reproche de inconstitucionalidad de la Sala y al respecto señala que el hecho de que un derecho haya sido declarado en Sentencia firme no le confiere ningún privilegio de inmunidad comparativamente con otros derechos de idéntico contenido que hayan merecido un reconocimiento espontáneo y no hayan tenido que ser ejercitados judicialmente. La santidad de la cosa juzgada excluye la modificación de lo sentenciado por la acción revisora de los tribunales pero no garantiza la permanencia del contenido del derecho frente a las innovaciones legislativas. Respecto a la supuesta desproporción entre el sacrificio impuesto al derecho del particular y el interés general, entiende que el Auto de planteamiento la hace descansar, no en la relación entre el fin de la subvención y el efecto de su supresión, sino en el decaimiento del fin de la subvención por el transcurso de los plazos que confirman la imposibilidad de cumplir con su fin. Por otro lado, no cabría entender propiamente que ha habido una actuación expropiatoria pues la privación de la subvención se funda en la frustración de la utilidad pública por cuya causa fue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pidiendo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ingresado en el Registro General de este Tribunal el día 11 de junio de 2002. En las mismas comienza precisando el objeto de la presente cuestión de inconstitucionalidad; tomando en cuenta el supuesto de hecho que dio lugar a la misma, lo entiende limitado exclusivamente al primer apartado de la disposición adicional vigésima tercera de la Ley 24/2001, de 27 de diciembre, en lo que se refiere a las subvenciones concedidas por Sentencia firme y tan sólo a aquéllas subvenciones devengadas tras las elecciones celebradas el día 28 de octubre de 1982 para las candidaturas que hubieran adoptado la forma de agrupación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admisibilidad de la cuestión de inconstitucionalidad, el Fiscal General del Estado pone de manifiesto la carencia de relevancia de la norma cuestionada para la resolución del supuesto que dio origen a la misma. En concreto, señala que el proceso electoral del que trae causa el reconocimiento de las subvenciones obtenidas por la agrupación de electores Herri Batasuna se celebró en el año 1982, es decir, en fecha anterior a la entrada en vigor de la Ley Orgánica 5/1985, de régimen electoral general y de la Ley Orgánica 3/1987, de financiación de los partidos políticos, únicas normas legales a las que hace referencia el precepto cuestionado, mientras que las elecciones generales del caso se rigieron por el Real Decreto-ley 20/1977, de 18 de marzo, en cuyo art. 44.1 se sustentó el reconocimiento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hace referencia como posible causa de inadmisibilidad al voto particular que acompaña al Auto de planteamiento de la cuestión de inconstitucionalidad, en el que se señala que el precepto cuestionado no establece de manera inequívoca la eficacia retroactiva de la norma; no obstante el Fiscal General del Estado no comparte dicha interpretación y se limita a señalar la objeción apuntada.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cuestión de inconstitucionalidad, sostiene que el precepto cuestionado no ha vulnerado la reserva de ley orgánica, ante todo porque al haberse aplicado, para conceder la subvención, una norma preconstitucional —el Real Decreto-ley 20/1977, de 18 de marzo—, no cabe exigir retroactivamente la reserva de ley orgánica para anular sus disposiciones. En segundo término, porque entiende que el devengo y reconocimiento de subvenciones no se puede reputar como elemento esencial del régimen electoral general y, en todo caso, porque incluso de reputarse así la norma no se refiere a aspectos esenciales del sistema de subvenciones sino a aspectos complementarios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tacha de inconstitucionalidad por contradicción con el principio de seguridad jurídica (art. 9.3 CE) señala que éste implica la certeza sobre el ordenamiento jurídico aplicable y los intereses jurídicamente tutelados, si bien permite cierta discrecionalidad al legislador para regular las relaciones de convivencia humana respondiendo a la realidad de cada momento. En este punto el escrito de alegaciones considera necesario examinar si la norma ha restringido retroactivamente algún derecho individual, llegando a una conclusión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tercera duda de inconstitucionalidad, relativa a la lesión del art. 24.1 CE, el Fiscal General entiende que en ella se vienen a reunir diversas quejas formuladas como diferentes, tanto por lesión del art. 9.3 CE como del art. 18.2 LOPJ. Respecto a todo ello considera que la norma carece de efectos retroactivos pues se imita a introducir un requisito que estaba ya implícito en la legislación anterior, si bien no fue reconocido así por los Tribunales. En este sentido, entiende que de la normativa aplicable se desprende implícitamente que sólo se devenga el derecho a subvención cuando se perfecciona y ejercita efectivamente la representación parlamentaria obtenida. El escrito de alegaciones incluye en este punto una amplia serie de razonamientos en torno a la soberanía popular tal y como se plasma en la Constitución, de los que concluye que el sistema democrático representativo sólo puede amparar el acto de presentarse a las elecciones cuando ulteriormente se ejercen las funciones representativas. Por todo ello concluye que el precepto cuestionado no se ha introducido ex novo, sino que se limita a dar forma a un deber positivo preexistente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considera que la no concesión de una subvención, o su revocación por incumplimiento de las condiciones legales, en ningún caso puede considerarse como una consecuencia sancionadora. Las subvenciones son una manifestación de la actividad de fomento del Estado que depende del cumplimiento de unos requisitos legales, de modo que no puede afirmarse en el supuesto ahora en cuestión la existencia de unos derechos consolidados. Señala que, en todo caso, en la Constitución ningún derecho se configura como ilimitado, sino que pueden ceder ante otros intereses constitucional o legalmente protegidos, con el límite siempre de la debida proporcionalidad. Para el examen de la misma hay que tener en cuenta, según el Fiscal General del Estado, el valor del pluralismo político y el mandato representativo democrático garantizado por el art. 23.1 CE. En tal sentido, la decisión de los representantes electos de la agrupación de electores en cuestión de no tomar posesión de sus escaños entraña notables perjuicios para el Estado pues impide presentarse a otras candidaturas y no justifica en absoluto la concesión de una subvención, de modo que los intereses generales deberán primar en su caso sobre la seguridad jurídica. A la vista de todo ello, el Fiscal General del Estado concluye su escrito de alegaciones interesando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2011 se señaló para la deliberación y votación de la presente Sentencia el día 13 del mismo mes y año, trámite que ha finalizado en el día de hoy.</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promovida por la Sección Primera de la Sala de lo Contencioso-Administrativo de la Audiencia Nacional respecto de la disposición adicional vigésima tercera de la Ley 24/2001, de 27 de diciembre, de medidas fiscales, administrativas y del orden social, por entender que vulnera la reserva de ley orgánica establecida en el art. 81.1 CE, la seguridad jurídica garantizada en el art. 9.3 CE y la tutela judicial efectiva del art. 24.1 CE, en su vertiente de obligatoriedad de cumplimiento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limita la duda de constitucionalidad al apartado primero del precepto,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 habrá lugar al pago a los partidos políticos, federaciones, coaliciones o agrupaciones de electores, o a cualquier otra persona o entidad a las que, por cualquier título, se hubiere transmitido el crédito correspondiente, de las subvenciones devengadas o que se devenguen conforme a lo previsto en los artículos 127 de la Ley Orgánica 5/1985, de 19 de junio, de Régimen Electoral General y 3 de la Ley Orgánica 3/1987, de 2 de julio, sobre Financiación de los Partidos Políticos, mientras no se justifique la adquisición por los electos pertenecientes a dichas formaciones políticas de la condición plena de Diputado, Senador, miembro del Parlamento europeo o miembro de la correspondiente Corporación local y el ejercicio efectivo del cargo para el que hubiesen sido elegidos y por cuya elección y desempeño se hayan devengado o se devenguen las citadas subvenciones, aun cuando este devengo derive de su reconocimiento por sentencia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a que se refiere el apartado anterior constituirá, a los efectos previstos en el artículo 105 de la Ley 29/1998, de 13 de julio, reguladora de la Jurisdicción Contencioso-administrativa, causa de imposibilidad legal de ejecutar las sentencias que reconozcan el derecho a percibir las referidas subvenciones, sin que tal inejecución dé lugar a indemnización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abordar el fondo de la presente cuestión se hace necesario resolver la objeción de inadmisibilidad planteada por el Fiscal General del Estado, consistente en la carencia de relevancia de la norma cuestionada para la resolución del supuesto que da origen a la cuestión de inconstitucionalidad. En concreto aduce que el proceso electoral del que trae causa el reconocimiento de las subvenciones en cuestión se celebró en el año 1982, por lo que le fue de aplicación el Real Decreto-ley 20/1977, de 18 de marzo, cuyo art. 44.1 establecía el reconocimiento de la subvención. Sin embargo, el precepto legal cuestionado se refiere exclusivamente a las subvenciones concedidas conforme a la Ley Orgánica 5/1985, de 19 de junio, del régimen electoral general y a la Ley Orgánica 3/1987, de 2 de julio, sobre financiación de los partidos políticos, ninguna de las cuales resulta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llamado juicio de relevancia, estatuido por el art. 35.2 de la Ley Orgánica del Tribunal Constitucional (LOTC),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A este respecto, venimos considerando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67/2002, de 21 de marzo, FJ 2; 63/2003, de 27 de marzo, FJ 2; 255/2004, de 23 de diciembre, FJ 2; y 139/2005,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de la lectura de la Sentencia de la Sección Octava de la Sala de lo Contencioso-Administrativo del Tribunal Supremo de fecha 23 de octubre de 1990, dictada en el procedimiento ordinario núm. 16.250-1985, se desprende sin lugar a dudas que la obligación del Estado de entregar al representante de la agrupación de electores la cantidad de 4.339.765 pesetas surge de lo dispuesto en el art. 44 del Real Decreto-ley 20/1977, de 18 de marzo. El examen del precepto objeto de la cuestión de inconstitucionalidad —la disposición adicional vigésima tercera de la Ley 24/2001, de 27 de diciembre, de medidas fiscales, administrativas y del orden social— evidencia, sin embargo, que sus previsiones no se refieren a cualesquiera subvenciones que reciban las entidades políticas sino a “las subvenciones devengadas o que se devenguen conforme a lo previsto en los artículos 127 de la Ley Orgánica 5/1985, de 19 de junio, de Régimen Electoral General y 3 de la Ley Orgánica 3/1987, de 2 de julio, sobre Financiación de los Partidos Políticos”. Queda así notoriamente de manifiesto que tal precepto legal no es de aplicación en el proceso que dio lugar al planteamiento de la cuestión de inconstitucionalidad ni, puede, por tanto, ser relevante para su fallo; y procede, en consecuencia, la inadmisión de la presente cuestión de inconstitucionalidad por incumplimiento del requisito relativo al denominado juicio de relevancia (art. 35.2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1525-2002, planteada por la Sección Primera de la Sala de lo Contencioso-Administrativo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