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Luis Ortega Álvarez, don Francisco Pérez de los Cobos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2675-2009, interpuesto por Buque Bus España, S.A., representado por el Procurador de los Tribunales don Jorge Deleito García y asistido por los Abogados don Sabiniano Medrano Irazola y don Pablo Tramoyeres Galván, contra la Sentencia de la Sección Tercera de la Sala de lo Contencioso-Administrativo del Tribunal Supremo de 3 de febrero de 2009, que confirma la Sentencia de la Sección Sexta de la Sala de lo Contencioso-Administrativo de la Audiencia Nacional de 30 de junio de 2005, desestimatoria del recurso contencioso-administrativo núm. 477-2003, promovido por la recurrente contra la resolución del Tribunal de Defensa de la Competencia de 13 de junio de 2003, que le imponía una sanción de 600.000 € por concertar los precios con las otras navieras que operaban la línea de transporte marítimo Algeciras-Ceuta-Algeciras.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 de amparo fue registrada en este Tribunal el 23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Estando servida la línea de transporte marítimo Algeciras-Ceuta-Algeciras por Transmediterránea, S.A. (desde 1917), Euroferrys, S.A. (desde el 30 de mayo de 1998) y Buque Bus España, S.A. (desde el 1 de septiembre de 1997), la Resolución del Tribunal de Defensa de la Competencia de 13 de junio de 2003 declaró que las tres navieras habían fijado concertadamente precios, conducta prohibida por el art. 1 Ley 16/1989, de 17 de julio, de defensa de la competencia (LDC), imponiéndoles sendas sanciones de 600.000 € en aplicación del art. 10 LDC, que en la redacción vigente en aquel momento decía: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Multas sancionadoras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Tribunal podrá imponer a los agentes económicos, empresas, asociaciones, uniones o agrupaciones de aquellas que, deliberadamente o por negligencia, infrinjan lo dispuesto en los artículos 1, 6 y 7, o dejen de cumplir una condición u obligación prevista en el articulo 4.2, multas de hasta 150.000.000 de pesetas, cuantía que podrá ser incrementada hasta el 10 por 100 del volumen de ventas correspondiente al ejercicio económico inmediato anterior a la resolución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cuantía de las sanciones se fijara atendiendo a la importancia de la infracción, para lo cual se tendrá en cuenta: a) la modalidad y alcance de la restricción de la competencia; b) la dimensión del mercado afectado; c) la cuota de mercado de la empresa correspondiente; d) el efecto de la restricción de la competencia sobre los competidores efectivos o potenciales, sobre otras partes en el proceso económico y sobre los consumidores y usuarios; e) la duración de la restricción de la competencia; f) la reiteración en la realización de las conductas prohibidas.”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Defensa de la Competencia constató —en la información solicitada a las encausadas— que las tres navieras aplicaban precios casi iguales que evolucionaban paralelamente y —por reconocimiento expreso de ellas mismas— que entre las dos primeras había un pacto de intercambio de billetes al que se unió la tercera a partir del 1 de abril de 2000. Sin realizar actividades ulteriores de instrucción, dicho organismo tuvo por acreditado en virtud de prueba de presunciones que la referida identidad de precios se debía a una voluntad concertada. Así, la resolución sancionadora, diciendo seguir las condiciones exigidas por el Tribunal Constitucional para que la prueba de presunciones sirva para constatar la existencia de hechos que constituyen una infracción, (a) afirmó que los hechos base —identidad de precios, acuerdo de intercambio de billetes— estaban plenamente probados; (b) razonó la relación causal entre los indicios y el hecho que se pretende probar a partir de los mismos diciendo que, en un mercado liberalizado donde el comportamiento normal de los nuevos operadores es hacerse un hueco en el mercado diferenciando la calidad del servicio y ofreciendo precios más atractivos, “si las tres navieras establecen idéntica y simultáneamente los precios, manteniendo una pequeña diferencia constante a lo largo del tiempo para las muy distintas tarifas que se fijan, la única posibilidad de este idéntico comportamiento es que haya habido concertación o acuerdo de los precios”; (c) y, en fin, analizó la verosimilitud de las versiones aducidas por las empresas navieras y expresó, una por una, las causas de su rechazo. Destaca, por ejemplo, cuando dice que “los argumentos de la alta transparencia del mercado y del obligado seguimiento al líder del mismo quedan desvirtuados porque no explican de ningún modo que los precios de Buque Bus España, S.A., y de Euroferrys se formen añadiendo o restando en casi todos los servicios cinco pesetas a los de Trasmediterránea, o que quepa un seguimiento absolutamente automático al líder del mercado, además de que estas posibilidades no son admisibles cuando ha habido contactos previos e intercambio de información entre las empresas concertadas que, en este caso, no pueden negar porque es un hecho probado y admitido que han realizado acuerdos expresos, aunque sin suscribir documento alguno, como sucede con el de aceptación mutua de billetes incluso fuera del período de la Operación de Paso del Estrecho.”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Buque Bus España, S.A., impugnó en vía contencioso-administrativa dicha resolución sancionadora esgrimiendo tres motivos: a) que la cuantía de la multa que se le impuso no era predecible; arguye que la normativa aplicable, reducida al art. 10 LDC, no predeterminaba suficientemente las sanciones que podían ser impuestas, pues remitían la graduación de la sanción a una decisión singular de la Administración sancionadora, lo que, según la STC 100/2003, no respeta la garantía de seguridad jurídica que la vertiente material del principio de legalidad sancionadora (art. 25.1 CE) asegura a toda persona. Y, reputando que la lesión procedía de dicho art. 10 LDC, solicitaba que se promoviese la oportuna cuestión de inconstitucionalidad; b) que inferir de los hechos base (identidad de precios, evolución paralela de los precios, pacto de intercambio de billetes) que las tres navieras fijaron los precios concertadamente lesiona la presunción de inocencia (art. 24.2 CE). Alega que esos mismos hechos pueden deberse a una política comercial libremente escogida por cada cual y no a una concertación entre ellas para no competir, de modo que los hechos constatados no permiten deducir, con los requisitos que constitucionalmente se exige a la prueba de presunciones, que se haya realizado la conducta sancionada, lo que, máxime cuando ni siquiera se ha intentado ninguna otra actividad instructora de la que la prueba de presunciones sea complementaria, implica que se le ha sancionado sin aportar prueba de cargo suficiente para destruir la presunción de inocencia; c) que la sanción impuesta es desproporcionada en comparación con las precedentes acordadas por el Tribunal de Defensa de la Competencia y con la aplicada en la misma resolución a las otras dos navieras. Lo último porque el volumen de negocio de éstas (que operan otras muchas líneas en el sur de Europa y en el norte de África) es muy superior al suyo (que solo opera la Algeciras-Ceuta), de modo que la imposición de multas de idéntica cuantía supone para ella la desaparición mientras no tiene tal transcendencia para las otras, resultado este de eliminación de competidores que es contrario al objetivo de defender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Sección Sexta de la Sala de lo Contencioso-Administrativo de la Audiencia Nacional de 30 de junio de 2005 nada contestó al primer motivo y desestimó los dos últimos. Buque Bus España, S.A. presentó recurso de casación en el que, de un lado, alegó incongruencia omisiva respecto del primer motivo de impugnación y, de otro, reiteró los otros dos motivos que habían sido desestimados en la instancia, casación resuelta por la Sentencia de la Sección Tercera de la Sala de lo Contencioso-Administrativo del Tribunal Supremo de 3 de febrero de 2009 con la desestimación de los tres motivos articulados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primero, luego de apreciar que hubo incongruencia omisiva, lo decidió en cuanto al fondo desestimándolo conforme a la doctrina que había sentado en su Sentencia de 6 de marzo de 2003. Transcribiendo lo dicho en aquélla, rechazó (fundamento jurídico 3) “el planteamiento de la cuestión de inconstitucionalidad sobre dicho precepto legal, en los dos apartados antes transcritos, por considerar que ninguno de ellos vulnera el art 25.1 CE. Es cierto que las multas previstas en la Ley 16/1989 lo han sido, como en otra ocasión hemos afirmado (sentencia de 8 de marzo de 2002, recaída en el recurso de casación 8088 de 1997), dentro de márgenes muy amplios, pero no absolutamente indeterminados, con referencia a variables o criterios sin duda generales y de no fácil y exacta verificación. De modo que no es siempre posible cuantificar, en cada caso, aquellas sanciones pecuniarias a base de meros cálculos matemáticos y resulta, por el contrario, inevitable otorgar al TDC un cierto margen de apreciación para fijar el importe de las multas sin vinculaciones aritméticas a parámetros de ‘dosimetría sancionadora’ rigurosamente exigibles. Si ello es así en el ejercicio general de las potestades administrativas cuando la Ley lo consiente, tanto más lo será respecto de la potestad sancionadora en el ámbito de la defensa de la competencia, pues resulta inherente a toda decisión sancionadora de este género, además de la finalidad estrictamente represiva, la de defender los intereses públicos ‘concretados en el funcionamiento concurrencial del mercado, su transparencia y la defensa de los consumidores’ incorporando a los instrumentos represivos elementos disuasorios de conductas futuras. Ha de tenerse en cuenta, además, como criterio rector para este tipo de valoraciones sobre la adecuación de las sanciones a la gravedad de los hechos, que la comisión de las infracciones anticoncurrenciales no debe resultar para el infractor más beneficiosa que el cumplimiento de las normas infringidas. Criterio que, aun no expresado literalmente en el art. 10 de la Ley 16/1989, puede entenderse implícito en las letras a), c) y d) de su apartado 2, así como en la facultad de sobrepasar el límite sancionador de los 150 millones de pesetas hasta el diez por ciento del volumen de ventas de la empresa infractora (art. 10 apartado uno). En todo caso, con o sin mención legal específica, corresponde a la naturaleza misma de la propia potestad sancionadora, como lo demuestra su posterior inclusión bajo la rúbrica del ‘principio de proporcionalidad’ en el artículo 131.2 de la Ley 30/1992. A partir de estas consideraciones, estimamos que los apartados primero y segundo del art. 10 no son susceptibles del reproche de inconstitucionalidad que la parte recurrente pretende. Pues la inevitable utilización de elementos de valoración referenciados a factores económicos de diversa naturaleza (cuotas de mercado, dimensiones de éste, efectos sobre los consumidores y otros similares) no convierte en absolutamente indeterminados los criterios para fijar la ‘importancia’ de la infracción en cada caso. Se trata de criterios preestablecidos legalmente, de modo que las exigencias de previa determinación normativa se cumplen en la medida en que las empresas afectadas pueden, o deben, ser conscientes de que a mayor intensidad de la restricción de la competencia por ellas promovida mayor ha de ser el importe de la sanción pecuniaria, con los límites máximos que en todo caso fija el propio art. 10, en términos absolutos o relativos. Como es lógico, todo ello exige una ulterior labor de motivación y fundamentación, por parte del TDC que dé razón suficiente de la cuantía de la multa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segundo motivo, la Sentencia recurrida hace suya la valoración probatoria que llevó a la de instancia a declarar que la resolución sancionadora hizo un uso constitucionalmente admisible de la prueba de presunciones, que pone el acento en que en ésta los hechos base están plenamente probados, de ellos se deriva el hecho constitutivo de la conducta sancionada mediante una inferencia que no es ilógica ni abierta y, en fin, se rechaza de un modo suficiente la versión alegada por Buque Bus España, S.A. Y respecto a la necesidad de que esta inferencia sirva como complemento de otros medios de prueba, dice el Tribunal Supremo que “tiene razón la sociedad actora en que la prueba por presunciones resulta admisible, en principio, en defecto o como complemento de pruebas directas, sin que pueda recurrirse a ella sin más como único procedimiento de prueba. Ahora bien, la necesidad o justificación de la prueba por presunciones en cada caso deriva del tipo de infracción y de si las circunstancias concurrentes en el supuesto concreto hacen razonable y útil la práctica de cualesquiera pruebas directas. En el caso de autos, como en muchos otros en materia de defensa de la competencia, especialmente en materia de acuerdos o prácticas concertadas entre sujetos económicos, es especialmente difícil lograr acreditar de forma directa la existencia de acuerdos, por las lógicas precauciones adoptadas por quienes incurren en conductas expresamente prohibidas por el art. 1 LDF; y, en supuestos como los de conductas conscientemente paralelas, dichas pruebas pueden ser inexistentes por no existir acuerdos formales entre los sujetos afectados. En consecuencia, si el órgano instructor entendió suficiente la constatación de la evolución paralela durante un largo período de tiempo de los precios establecidos por las empresas sancionadas para considerar acreditada la concertación de los mismos, ello no supone por sí mismo que se haya vulnerado el principio de presunción de inocencia por la falta de práctica de otra actividad probatoria. Por lo demás, no parece presumible que la actividad probatoria que la parte sugiere (solicitar documentación contable, colaboración o información de terceros, interrogatorio de empleados de las empresas, solicitud de un estudio pericial sobre posibles explicaciones alternativas) pudiera aportar datos relevantes sobre la existencia de una actuación encaminada a la concertación (reuniones, acuerdos expresos), sino sobre los propios hechos base (la efectiva evolución de los precios durante el período de tiempo examinado) que están ya sobradamente acreditados y que no son disputados por la actora, o sobre la explicación alternativa, que está ya suficientemente argumentada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respecto al tercer motivo de impugnación, el Tribunal Supremo considera, como la Sentencia de instancia, que el mercado relevante para fijar la cuantía de la sanción es la concreta línea marítima donde se ha realizado la infracción y no el más amplio del transporte marítimo del sur de Europa y norteafricano como propone la recurrente, de modo que, teniendo en esa línea las tres navieras una participación similar, la imposición de multas de idéntica cuantía está lejos de suponer un trato desigual.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articula en tres motivos: a) Lesión de la vertiente material del derecho a la legalidad sancionadora (art. 25.1 CE), pues se le habría impuesto una sanción sin que hubiera predeterminación normativa suficiente de la correlación entre la infracción y la sanción, siendo posible tal predeterminación también en materia de defensa de la competencia como resulta de los arts. 62 y 63 de la ley 15/2007 que han sustituido al art. 10 LDC; b) lesión del derecho a la presunción de inocencia (art. 24.2 CE); y c) lesión del derecho a la igualdad (art. 14 CE). Imputa las tres lesiones directamente a la resolución administrativa sancionadora y, sólo en la medida en que no las reparan, a las resoluciones judiciales. La recurrente, en consonancia con ello, dice que deduce el recurso por el cauce del art. 43 Ley Orgánica del Tribunal Constitucional (LOTC) y desarrolla los referidos motivos de amparo en los mismos términos que lo había hecho en la vía judicial previa, los cuales han quedado expuestos ut supra.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 anterior la actora afirma que, a diferencia del caso resuelto por la STC 100/2003, el art. 10 LDC no remite el complemento de los criterios de gradación de la sanción a un momento reglamentario posterior, cuya ausencia causaría la lesión, sino que es aplicable directamente, lo que le lleva a sostener que la lesión del art. 25.1 CE deriva inmediatamente del citado precepto legal y, en su virtud, a solicitar que se eleve al Pleno de este Tribunal la correspondiente cuestión de inconstitucionalidad (art. 55.2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pretensiones de amparo, fijadas en el apartado V de la demanda y a las que remite la súplica, la núm. 4 pide que “para el caso que mi mandante fuera compelido a pagar la multa, que su importe le sea devuelto incrementado en los intereses de demora correspondientes al período que medie entre el eventual pago y la efectiva restitución, y que adicionalmente se le indemnice de los perjuicios que dicho pago le cause”. La demanda concluye con un otrosí en el que se insta ex art. 56.3 LOTC la suspensión de la efectividad de la resolución del Tribunal de Defensa de la Competencia de 13 de junio 2003 en la que se imponía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acordó a través de providencia de 23 de noviembre de 2010 admitir a trámite esta demanda y dirigir atenta comunicación a la Sección Tercera de la Sala de lo Contencioso-Administrativo del Tribunal Supremo y a la Sección Sexta de la Sala de lo Contencioso-Administrativo del Tribunal Superior de Justicia de la Comunidad Valenciana para que, en plazo que no exceda de diez días, remitan certificación o copia adverada de las actuaciones correspondientes al recurso de casación núm. 7280-2005 y al recurso contencioso-administrativo núm. 477-2003, respectivamente. Se solicita igualmente al último de esos órganos judiciales que proceda al previo emplazamiento de quienes hayan sido parte en el procedimiento, excepto la parte recurrente en amparo, para que puedan comparecer en el plazo de diez días en este proceso constitucional. Las actuaciones solicitadas fueron recibidas en este Tribunal el día 16 de diciembre de 2010. El 26 de noviembre de 2010 se había personado el Abogado del Estado,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fecha, la Sala Segunda ordenó la formación de pieza separada para la tramitación del oportuno incidente de suspensión, al que puso término el ATC 199/2010, de 21 de diciembre, que desestimó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25 de enero de 2011 se tuvo por personado y parte en el procedimiento al Abogado del Estado y se dio vista de las actuaciones recibidas a las partes personadas y al Ministerio Fiscal por plazo común de veinte días para que presenten las alegaciones que consideren oportunas, todo ello al amparo del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actora evacuó el trámite de alegaciones concedido mediante escrito registrado en este Tribunal el 15 de febrero de 2011, en el que se ratifica en su demanda de amparo y da por reiterados los argumentos contenidos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sus alegaciones registradas el 15 de febrero de 2011, tras instar la inadmisión del tercer motivo de amparo (porque en la vía judicial ordinaria se denunció como aplicación desproporcionada del art. 10 LDC) y de la petición sobre devolución de cantidad, pago de intereses e indemnización (porque es ajena a la jurisdicción constitucional de amparo), rechaza que haya lesión del art. 25.1 CE, advirtiendo como preliminar que “[t]oda la LDC 1989 ‘se inspira’ en ‘la normativa comunitaria’ … Si los apartados 1 y 2 del art. 10 LDC son contrarios al art. 25.1 CE, no será arduo inferir, a la vista de la doctrina constitucional de las violaciones indirectas (por todas, SSTC 91/2000, de 30 de marzo, FJ 6, 110/2002, de 6 de mayo, FJ 4, 177/2006, de 5 de junio, FJ 7, 140/2007, de 4 de junio, FJ 2, o 199/2009, de 28 de septiembre, FJ 3), que ningún poder público español —ni las Administraciones ni los jueces y tribunales- podrán prestar su concurso a la ejecución de multas sancionadoras impuestas en aplicación del art. 15.2 del Reglamento núm. 17 o 23.2 del Reglamento de 2003, puesto que, si lo hicieran, violarían el derecho fundamental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Pasando a los argumentos aplicables al caso, destaca que “la doctrina constitucional no sólo acepta el ineluctable margen de arbitrio o discrecionalidad en la aplicación de sanciones, sino que incluso esa holgura aplicativa sirve para evitar la inconstitucionalidad por excesiva rigidez de la norma. … La consecuencia de esta doctrina es que las cuestiones constitucionales relacionadas con la individualización de las sanciones son ajenas al art. 25. 1 CE y se desplazan, corno problemas de motivación, al ámbito del art. 24.1 CE (así STC 64/2001, de 17 de marzo, FJ 4)”. Y razona que este es “un supuesto en que un amplio margen de libertad en la individualización de las sanciones resulta imprescindible” debido a “la inevitable utilización de elementos de valoración referenciados a factores económicos de diversa naturaleza (cuotas de mercado, dimensiones de éste, efectos sobre los consumidores y otros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sostiene que “[e]n la doctrina de este Tribunal Constitucional hay menciones a que la jurisprudencia, y en general los precedentes, contribuyen a mejorar la previsibilidad de las normas sancionadoras. Por ejemplo, la STC 89/1993, de 12 de marzo, señaló que ‘la suficiencia o insuficiencia, a la luz del principio de tipicidad, de esta labor de predeterminación normativa podrá apreciarse también a la vista de lo que en ocasión anterior se ha llamado el contexto legal y jurisprudencial (STC 133/1987) en que el precepto penal se inscribe, pues el ordenamiento jurídico es una realidad compleja e integrada dentro de la cual adquieren sentido y significación propia -también en el ámbito penal- cada uno de los preceptos singulares’. Pero aún abundan más en la jurisprudencia del TEDH, que tiene declarado –entre otras, sentencias de 22 de marzo de 2001, Streletz, Kessler y Krenz, parágrafos 50, 81 y 82 y de 2 de septiembre de 2010 Uzun, parágrafo 62- que el art. 7 del Convenio Europeo no prohíbe ‘la clarificación gradual de las normas de la responsabilidad penal mediante la interpretación judicial de un asunto a otro, a condición de que el resultado sea coherente con la sustancia de la infracción y razonablemente previsible’. Y es que en palabras de la STEDH de 22 de junio de 2000, Coëme y otros c/Bélgica, parágrafo 145, el concepto de derecho que utiliza el art. 7 del Convenio Europeo se corresponde con la de ‘ley’ que figura en otros artículos de la Convención; engloba el derecho de origen tanto legislativo (statute law) como jurisprudencial (case law)”.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prosigue el Abogado del Estado, “la jurisprudencia del hoy TJUE ha recogido la doctrina Coëme del TEDH (por todas, SSTJCE de 3 de mayo de 2007. Advocaten voor de Wereld, C-303/05, y 3 de junio de 2008, Intertanko, C-308/2006). En una reciente sentencia del TJUE, de 17 de junio de 2010, Lafarge SA c/ Comisión, C-413/08, partiendo de la doctrina del TEDH, se resume así la jurisprudencia sobre el art. 15.2 del Reglamento núm. 17 en el parágrafo 95: ‘A este respecto, es preciso señalar que, aunque el artículo 15, apartado 2, del Reglamento núm. 17 deja a la Comisión una amplia facultad de apreciación, limita, sin embargo, su ejercicio estableciendo criterios objetivos que ésta debe observar. Así, por una parte, el importe de la multa que puede imponerse está sujeto a un límite cuantificable y absoluto, de modo que cabe establecer de antemano el importe máximo de la multa que puede imponerse a una empresa determinada … Además, la práctica administrativa conocida y accesible de la Comisión está sometida al pleno control del juez de la Unión, cuya jurisprudencia reiterada y publicada ha permitido precisar los conceptos indeterminados que podía contener el artículo 15, apartado 2, del Reglamento núm. 17. De este modo, un agente económico atento y perspicaz puede, recurriendo si fuera preciso a asesoramiento jurídico, prever de modo suficientemente preciso el método de cálculo y la magnitud aproximada de las multas a que se expone por actuar de un modo determinado’.” El Abogado del Estado resalta también la conocida doctrina del Tribunal de Justicia de la Unión Europea sobre el deber reforzado de motivación “que incumbe a la Comisión cuando impone una multa sancionadora a quienes incurren en prácticas anticompetitivas. Por ejemplo, la sentencia de 18 de septiembre de 2003, Volkswagen/Comisión, C-338/00, parágrafo 124, recuerda que ‘según reiterada jurisprudencia, la motivación exigida por el artículo 190 del Tratado debe mostrar, de manera clara e inequívoca, el razonamiento de la autoridad comunitaria de la que emane el acto impugnado, de manera que los interesados puedan conocer las razones de la medida adoptada con el fin de defender sus derechos y que el juez comunitario pueda ejercer su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recogiendo esas razones concluye “que, cuando se concertaron las conductas anticompetitivas sancionadas, Buquebus podía informarse fácilmente —contando en su caso con asesores jurídicos— tanto de la práctica sancionadora del TDC plasmada en numerosos precedentes (disponibles en su página web y en repertorios y bases de datos usuales) como de la jurisprudencia contencioso-administrativa en la materia, con lo que ha de excluirse —al igual que ocurre en el ordenamiento europeo según declara constantemente el hoy TJUE— que la actora hubiera de soportar un déficit de previsibilidad infractor de la garantía ínsita en el art. 25.1 CE. Habida cuenta de ello y del cuidado con que el TDC motivó las sanciones … cuidado con el que procedía generalmente como es notorio, no puede entenderse que el margen de apreciación concedido al órgano defensor de la competencia por los apartados 1 y 2 del art. 10 LDC 1989, a semejanza de lo previsto en el art. 15.2 Reglamento núm. 17, supusiera una infracción de las exigencias que para el legislador dimanan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niega que haya lesión de la presunción de inocencia, haciendo valer el mismo planteamiento que las resoluciones judiciales recaídas en la vía judicial ordinaria, que quedó expuesto con suficiente detalle ut supra. Añade que no es cierto que a la actora se le exija una prueba diabólica o de hechos negativos, pues “la prueba de descargo que debía aportar versaba sobre hechos positivos, a saber aquellos en los que se asentaba la explicación alternativa dada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descarta la tercera vulneración alegada porque el derecho a no padecer discriminación no ampara frente a la falta de distinción en supuestos desiguales y porque los precedentes del Tribunal de Defensa de la Competencia no pueden fundamentar una pretensión de desigualdad ante este Tribunal una vez que el acto supuestamente distinto a los que le precedieron ha sido enjuiciado y declarado válido por el tribunal competente, pues la igualdad garantizada en la Constitución es la igualdad ante la ley (por todas, STC 50/1986, de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sus alegaciones registradas el 3 de marzo de 2011, niega que la Ley de defensa de la competencia de 1989 omita clasificar las infracciones definidas en los arts. 1, 4.2, 6 y 7 en grados (como leves, graves o muy graves), implicando esa omisión un déficit de predeterminación normativa de la correspondencia entre infracciones y sanciones exigida por el art. 25.1 CE, pues el hecho de que las infracciones no se dividan en categorías no significa que entre esas infracciones haya unas leves, otras graves y otras muy graves y que el legislador no las haya diferenciado a la hora de atribuirles su correspondiente sanción, sino que es perfectamente posible que sólo haya considerado conveniente tipificar las conductas más graves, castigándolas todas con la misma clase de sanción, lo que supone que la correspondencia entre infracciones y sanción sea perfecta.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Aquí radica, según el Fiscal, la diferencia con la doctrina de la STC 100/2003, pues en esa Sentencia la normativa aplicable preveía que las infracciones, previamente tipificadas en lista única, podían ser leves, menos graves, graves y muy graves y fijaba su correlato en la cuantía de la multa que se podía imponer, todo ello sin precisar qué infracciones se integraban en cada grado, lo que suponía remitir a la Administración, simplemente condicionada por algunos criterios generales, la decisión sobre la correspondencia entre infracciones y sanciones. Por el contrario, en este caso el legislador se ha limitado a definir una serie de conductas infractoras de una sola e igual gravedad y ha fijado para el supuesto de comisión de cualquiera de esas conductas infractoras una sola sanción, comprendida entre 1 € y 901.518,16 € o, en su caso, el 10 por 100 del volumen de ventas correspondiente al ejercicio económico inmediato anterior a la resolución del Tribunal de Defensa de la Competencia, lo que significa que la correspondencia entre infracciones y sanciones está en la norma y no se remite a la decisión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Arguye, en fin, que a pesar de la enorme amplitud de la “horquilla” dentro de la cual el Tribunal de Defensa de la Competencia puede imponer las sanciones (entre 1 € y el 10 por 100 del volumen de las ventas), lo relevante, desde el punto de vista de la predeterminación normativa de la sanción, es que los interesados pueden conocer de antemano las consecuencias máximas de sus acciones y que el margen que el legislador deja a la Administración para recorrer toda la extensión de la multa aparece limitado por los criterios generales establecidos en el art. 10.2 LDC -para las multas en materia de defensa de la competencia —y en el art. 131 de la Ley de régimen jurídico de las Administraciones públicas y del procedimiento administrativo común— para las sanciones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segundo motivo de amparo, el Fiscal expone con detalle cómo la resolución sancionadora asienta con prueba plena los hechos base, infiere de ellos de un modo que supera el test constitucional que la igualdad de precios obedece a una voluntad concertada y, finalmente, razona el rechazo de las versiones alternativas, concluyendo que no ha habido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Fiscal afirmando que, dado que la discriminación por indiferenciación y la separación administrativa del precedente ilegal no son supuestos protegibles al amparo del art. 14 CE, no cabe acoger el tercer y último motivo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11 de octubre de 2012, se señaló para deliberación y fallo de la Sentencia el día 15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se dirige contra la resolución del Tribunal de Defensa de la Competencia de 13 de junio de 2003, que declaró que la actora había concertado precios con las otras dos operadoras de la línea de transporte marítimo Algeciras-Ceuta-Algeciras, conducta prohibida por el art. 1 de la Ley de defensa de la competencia (LDC), imponiéndole, como a la otras dos, multa de 600.000 € en aplicación del art. 10 LDC. También son objeto del mismo las decisiones judiciales que confirman la actuación administrativa, en tanto que no reparan las lesiones imputadas a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articula tres motivos de amparo: a) Se ha desconocido la vertiente material del derecho a la legalidad sancionadora, pues se le impuso una multa sin que la predeterminación normativa de la correlación entre las infracciones y la sanciones, limitada a lo establecido en el art. 10 LDC, sea suficiente a la luz de la doctrina constitucional (STC 100/2003, de 2 de junio). Además, alega que, a diferencia del caso resuelto por la STC 100/2003, el art. 10 LDC no remite el complemento de los criterios de gradación de la sanción a un momento reglamentario posterior, cuya ausencia causaría la lesión, sino que es aplicable directamente, lo que supone que la lesión del art. 25.1 CE deriva inmediatamente del citado precepto legal y, en su virtud, que ha de elevarse al Pleno de este Tribunal la correspondiente cuestión de inconstitucionalidad [art. 55.2 de la Ley Orgánica del Tribunal Constitucional]; b) inferir de la identidad de precios y del pacto de intercambio de billetes que las navieras concertaron precios no satisface el derecho la presunción de inocencia (art. 24.2 CE), máxime cuando los medios probatorios aptos para acreditarlo de modo directo ni se intentaron; c) en fin, la sanción impuesta es desproporcionada en comparación con los precedentes del Tribunal de Defensa de la Competencia  y con la aplicada en la misma resolución a las otras dos navieras, lo que vulnera el art. 14 CE. Concluye la actora pidiendo que se otorgue el amparo, se anulen la resolución administrativa y las sentencias que la confirman y, para el caso que hubiera sido compelida a pagar la multa, le sea devuelto el importe acompañado de intereses e indemnización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 los argumentos detallados en los antecedentes, tras instar la inadmisión del tercer motivo de amparo y de la petición sobre devolución de cantidad, pago de intereses e indemnización, rechaza en cuanto al fondo los tres motivos planteados por la actora, por lo que solicita la desestimación de la demanda. El Fiscal, por su parte, también se opone, en los términos descritos en los antecedentes,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es preciso resolver sobre los óbices procesales suscitados por el Abogado del Estado. El primero, relativo a la falta de denuncia del tercer motivo de amparo en la vía judicial ordinaria, no puede prosperar porque, aunque es cierto que en aquélla lo que alegó la actora fue la aplicación desproporcionada del art. 10 LDC, también lo es que la desproporción se predicaba en relación a las multas precedentes impuestas por el Tribunal de Defensa de la Competencia y a la aplicada en la misma resolución a las otras dos navieras, de modo que los jueces ordinarios han podido pronunciarse, y efectivamente lo han hecho, sobre el juicio de igualdad que plantea dicho motivo de amparo. Sobre el segundo, referido a la inadecuación en el recurso de amparo de la petición sobre devolución de cantidad, pago de intereses e indemnización, cumple recordar la doctrina constitucional (reiterada desde la STC 37/1982, de 16 de junio, y mantenida recientemente —en un asunto en que, como aquí, se imputaba la lesión del art. 25.1 CE a la imposición de una sanción— en la STC 9/2006, de 16 de enero) de que los pronunciamientos que el art. 55.1 de la Ley Orgánica del Tribunal Constitucional permite consignar en el fallo delimitan el objeto posible de este proceso constitucional, de modo que las pretensiones indemnizatorias, por no caber dentro de dichos pronunciamientos, han de quedar fuera de lo discutido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Abordando ya el fondo de los motivos de amparo, y al efecto de delimitar el debate procesal que plantea el primero de ellos, debemos afirmar que no se discute si es concorde con el art. 25.1 CE que la Administración disponga de un margen de apreciación al aplicar la normativa sancionadora, lo cual está fuera de toda duda, sino si, como exige la vertiente material del principio de legalidad sancionadora (art. 25.1 CE) en aras de garantizar la seguridad jurídica de los ciudadanos, ese margen está suficientemente predeterminado en la norma, concretamente en cuanto a la correlación entre la infracción y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resulta claro que el art. 10.2 LDC establece una serie de criterios generales que vinculan a la Administración al decidir sobre la importancia de la infracción y correlativamente sobre la cuantía de la sanción, lo que supone que la actuación de la Administración no es enteramente libre sino sujeta a ciertos parámetros señalados en la ley. Ahora bien, distinta es la perspectiva de la garantía material de la legalidad sancionadora, donde lo que importa es si el destinatario de la norma puede predecir, a partir de la normativa sancionadora y con suficiente grado de certeza, la gravedad de la sanción que cabría imponérsele por la conducta que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(SSTC 207/1990, de 17 de diciembre; 100/2003, de 2 de junio; y 210/2005, de 18 de julio) se ha ocupado de esta cuestión en supuestos en que la norma aplicable condicionaba la decisión administrativa sobre la gravedad de la infracción y la correlativa importancia de la sanción a través del señalamiento de criterios generales conforme a los cuales graduar ésta, pero, aun dividiendo las infracciones en categorías de gravedad, no establecía qué concretas conductas de las tipificadas habían de ser reputadas leves, cuáles graves y qué otras muy graves, de modo que la integración de cada conducta en cada una de esas categorías, aun cuando vinculada por criterios generales, se acordaba singularmente, caso por caso, por el órgano administrativo sancionador, considerando que este resultado abocaba a concluir que dicha norma no contenía una predeterminación constitucionalmente suficiente de la correspondencia entre infracciones y sanciones y, en consecuencia, que las sanciones impuestas a su amparo desconocían la vertiente material del principio de legalidad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configuración de la norma aplicable es distinta en este caso, pues resulta evidente que el art. 10 LDC no divide las infracciones que tipifica en categorías, lo que no significa, como de hecho pone de relieve el Fiscal, que entre esas infracciones haya unas leves, otras graves y otras muy graves y que el legislador no las haya diferenciado a la hora de atribuirles su correspondiente sanción, sino que ha considerado conveniente atribuir a todas las clases de conductas que tipifica una misma gravedad, que solo diferirá por las circunstancias de hecho que rodeen a la comisión concreta de las mismas, las cuáles tendrán su reflejo en la cuantificación de la multa por medio de la aplicación razonada de los criterios generales que dicho precepto enuncia. De acuerdo a esta interpretación, según la cual el art. 10 LDC tipifica una sola categoría de infracciones y una sola categoría de sanciones, no apreciamos ningún déficit de predeterminación normativa en la correlación entre infracciones y sanciones pues ésta es unívoca, procediendo por este motivo desestimar la primera de las alegaciones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invocaciones de la demanda exige partir de la reiterada doctrina constitucional según la cual “la prueba indiciaria puede sustentar un pronunciamiento condenatorio, sin menoscabo del derecho a la presunción de inocencia, siempre que: 1) el hecho o los hechos bases (o indicios) han de estar plenamente probados; 2) los hechos constitutivos del delito deben deducirse precisamente de estos hechos bases completamente probados; 3) se pueda controlar la razonabilidad de la inferencia, para lo que es preciso, en primer lugar, que el órgano judicial exteriorice los hechos que están acreditados, o indicios, y, sobre todo que explique el razonamiento o engarce lógico entre los hechos base y los hechos consecuencia; y, finalmente, que este razonamiento esté asentado en las reglas del criterio humano o en las reglas de la experiencia común o, ‘en una comprensión razonable de la realidad normalmente vivida y apreciada conforme a los criterios colectivos vigentes’ (SSTC 300/2005, de 21 de noviembre, FJ 3; 111/2008, de 22 de septiembre, FJ 3 y 70/2010, FJ 3). Asumiendo ‘la radical falta de competencia de esta jurisdicción de amparo para la valoración de la actividad probatoria practicada en un proceso penal y para la evaluación de dicha valoración conforme a criterios de calidad o de oportunidad’ (SSTC 137/2005, de 23 de mayo, FJ 2 y 111/2008, de 22 de septiembre, FJ 3), sólo se considera vulnerado el derecho a la presunción de inocencia en este ámbito de enjuiciamiento cuando ‘la inferencia sea ilógica o tan abierta que en su seno quepa tal pluralidad de conclusiones alternativas que ninguna de ellas pueda darse por probada’ (SSTC 229/2003, de 18 de diciembre, FJ 4; 111/2008, de 22 de septiembre, FJ 3; 109/2009, de 11 de mayo, FJ 3; 70/2010, de 18 de octubre, FJ 3; 25/2011, de 14 de marzo, FJ 8).” (STC 133/2011, de 18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del criterio expuesto, la resolución administrativa no desconoce el derecho a la presunción de inocencia, pues ésta resulta enervada por una prueba indiciaria constitucionalmente válida, habida cuenta que el órgano sancionador explicita los hechos base —identidad de precios, acuerdo de intercambio de billetes— y los considera plenamente probados bien mediante la información solicitada a las encausadas bien por reconocimiento expreso de ellas mismas, concluyendo que había habido concertación sobre los precios inferencia que ni es “ilógica” ni “tan abierta que en su seno quepa tal pluralidad de conclusiones alternativas que ninguna de ellas pueda darse por 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esta conclusión que el órgano sancionador, limitándose a la información que las navieras le entregaron a solicitud suya, no hubiera desenvuelto ninguna otra actividad indagatoria dirigida a obtener pruebas directas de la concertación de precios, pues dichas actividades de instrucción, particularmente las que la parte sugiere (solicitar documentación contable, colaboración o información de terceros, interrogatorio de empleados de las empresas, solicitud de un estudio pericial sobre posibles explicaciones alternativas), no parecían aptas para aportar datos relevantes sobre la existencia de una actuación encaminada a la concertación (reuniones, acuerdos expresos), sino sobre los propios hechos base (la efectiva evolución de los precios durante el período de tiempo examinado) que están ya sobradamente acreditados y que no son disputados por la actora, o sobre la explicación alternativa, que está ya suficientemente argumentada por las partes. Por todo ello, al ser pruebas inútiles, su falta de práctica no afecta a la virtualidad de la prueba indiciaria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igualmente descartar que la actora haya visto lesionado su derecho a la igualdad (art. 14 CE) porque a las tres operadoras se le hayan impuesto multas de idéntica cuantía cuando, dado que la actora solo opera en el restringido ámbito de la línea marítima donde se ha realizado la infracción mientras las otras dos actúan en el más amplio del transporte marítimo del sur de Europa y norte de África, presentan muy distinto volumen de negocio, pues subyace a este planteamiento una pretensión de trato desigual a supuestos desiguales y como es sabido “el principio de igualdad no puede fundamentar un reproche de discriminación por indiferenciación” (por todas, SSTC 164/1995, de 13 de noviembre, FJ 7; y 117/2006, de 24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prosperar la alegación de trato desigual contrario al art. 14 CE por la desproporción de la multa impuesta en comparación con las precedentes acordadas por el Tribunal de Defensa de la Competencia, pues la actora se limita a citar los casos, sin precisar las circunstancias de los mismos, en todo caso no lo suficiente para que este Tribunal pueda apreciar si son supuestos de hecho análogos al presente (sobre la necesidad de que los supuestos de hecho sean análogos en los casos de aplicación administrativa de la ley, STC 7/2009, de 12 de enero), de modo que no levanta la carga de acreditar un término homogéneo de contraste respecto del que verificar el juicio de igualdad, como era su obligación según reiterada doctrina constitucional (por todas, SSTC 31/2008, de 25 de febrero, FJ 3; y 161/2008, de 12 de diciembre, FJ 2).</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Buque Bus España, S.A., contra la Sentencia de la Sección Tercera de la Sala de lo Contencioso-Administrativo del Tribunal Supremo de 3 de febrero de 2009.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