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13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1618-2003, interpuesto por el Gobierno de Aragón contra la certificación de 9 de noviembre de 2002 sobre afección de los proyectos y actuaciones a la conservación de la diversidad en las zonas especiales de conservación y en las zonas de especial protección para las aves, expedida por la Dirección General de Conservación de la Naturaleza del Ministerio de Medio Ambiente en relación con el proyecto titulado “Construcción de abastecimiento de Agua a Lleida y núcleos urbanos de la zona regable del canal de Piñana, fase II”. Ha comparecido y formulado alegaciones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marzo de 2003 el Letrado de la Comunidad Autónoma de Aragón, en la representación que legalmente ostenta, promueve conflicto positivo de competencia contra la certificación de 9 de noviembre de 2002 sobre afección de los proyectos y actuaciones a la conservación de la diversidad en las zonas especiales de conservación y en las zonas de especial protección para las aves, expedida por la Dirección General de Conservación de la Naturaleza del Ministerio de Medio Ambiente en relación con el proyecto titulado “Construcción de abastecimiento de Agua a Lleida y núcleos urbanos de la zona regable del canal de Piñana, fase II”, por invadir la competencia exclusiva autonómica en materia de espacios protegidos (art. 31.1.15 del Estatuto de Autonomía de Aragón, aprobado por Ley Orgánica 8/1982, de 10 de agosto, en la redacción dada al mismo por la Ley Orgánica 5/1996,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resalta que la conjunción del art. 149.1.23 CE y de los arts. 37.3 (“Corresponde a la Comunidad Autónoma el desarrollo legislativo y ejecución de la legislación básica del Estado en las siguientes materias: Protección del medio ambiente; normas adicionales de protección del medio ambiente y del paisaje”) y 31.1.15 (“Corresponde a la Comunidad Autónoma la competencia exclusiva en las siguientes materias: Montes, aprovechamientos y servicios forestales, vías pecuarias y espacios naturales protegidos”) del Estatuto de Autonomía de Aragón exige diferenciar el medio ambiente como título competencial específico de títulos vinculados al medio ambiente pero distintos de éste, por su especificidad, como el relativo a los espacios naturales protegidos. Y añade que en el marco de esos títulos competenciales se aprobó por el Estado el Real Decreto 1997/1995, de 7 de diciembre, por el que se establecen medidas para contribuir a garantizar la biodiversidad mediante la conservación de los hábitats naturales de la flora y la fauna silvestre, cuyo art. 6, bajo la rúbrica “medidas de conservación”,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Respecto de las zonas especiales de conservación las Comunidades Autónomas correspondientes fijarán las medidas de conservación necesarias que implicarán, en su caso, adecuados planes de gestión, específicos a los lugares o integrados en otros planes de desarrollo, y las apropiadas medidas reglamentarias, administrativas o contractuales, que respondan a las exigencias ecológicas de los tipos de hábitats naturales del anexo I y de las especies del anexo II presentes en los lugares.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las Comunidades Autónomas correspondientes se adoptarán las medidas apropiadas para evitar en las zonas especiales de conservación el deterioro de los hábitats naturales y de los hábitats de especies, así como las alteraciones que repercutan en las especies que hayan motivado la designación de las zonas, en la medida en que dichas alteraciones puedan tener un efecto apreciable en lo que respecta a los objetivos del presente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Cualquier plan o proyecto que, sin tener relación directa con la gestión del lugar o sin ser necesario para la misma, pueda afectar de forma apreciable a los citados lugares, ya sea individualmente o en combinación con otros planes o proyectos, se someterá a una adecuada evaluación de sus repercusiones en el lugar, que se realizará de acuerdo con las normas que sean de aplicación, de acuerdo con lo establecido en la legislación básica estatal y en las normas adicionales de protección dictadas por las Comunidades Autónomas, teniendo en cuenta los objetivos de conservación de dicho lugar. A la vista de las conclusiones de la evaluación de las repercusiones en el lugar y supeditado a lo dispuesto en el apartado 4 de este artículo, las Comunidades Autónomas correspondientes sólo manifestarán su conformidad con dicho plan o proyecto tras haberse asegurado de que no causará perjuicio a la integridad del lugar en cuestión y, si procede, tras haberlo sometido a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a pesar de las conclusiones negativas de la evaluación de las repercusiones sobre el lugar y a falta de soluciones alternativas, debiera realizarse un plan o proyecto por razones imperiosas de interés público de primer orden, incluidas razones de índole social o económica, las Administraciones públicas competentes tomarán cuantas medidas compensatorias sean necesarias para garantizar que la coherencia global de Natura 2000 quede protegida. En su caso, las Comunidades Autónomas comunicarán al Ministerio de Agricultura, Pesca y Alimentación las medidas compensatorias que hayan adoptado y éste, a través del cauce correspondiente, informará a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el lugar considerado albergue un tipo de hábitat natural y/o una especie prioritarios, únicamente se podrán alegar consideraciones relacionadas con la salud humana y la seguridad pública, o relativas a consecuencias positivas de primordial importancia para el medio ambiente, o bien, otras razones imperiosas de interés público de primer orden. En este último caso, a través del cauce correspondiente, habrá que consultar, previamente, a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momento en que un lugar figure en la lista de lugares de importancia comunitaria, éste quedará sometido a lo dispuesto en los apartados 2, 3 y 4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será de aplicación a las zonas de especial protección para las aves, declaradas, en su caso, por las Comunidades Autónomas correspondientes, al amparo del artículo 4 de la Directiva 79/409/CEE, lo establecido en los apartados 2, 3 y 4 de este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General del Estado, a juicio del representante del Gobierno de Aragón, se atribuye la función de control ex art. 6.3 de la norma transcrita y, en consecuencia, la Dirección General de Conservación de la Naturaleza del Ministerio de Medio Ambiente formuló el 9 de noviembre de 2002, en relación con el proyecto titulado “Construcción de abastecimiento de Agua a Lleida y núcleos urbanos de la zona regable del canal de Piñana, fase II”, lo que denomina “Declaración de la autoridad responsable de supervisar los lugares de la Red Natura 2000”, concluyendo en ella que el proyecto evaluado “no tendrá efectos negativos apreciables en lugares incluidos en la Red Natura 2000, siempre que se cumplan las siguientes condiciones: a) Las conducciones previstas no invadirán en ningún caso el ámbito territorial del LIC de ‘Aiguabarreig Segre – Noguera Ribagorzana’ (ES5130020), limitándose a cruzar este espacio por los puntos previstos (ramal Albesa y ramal Corbins-Torrelameu) aprovechando la existencia de infraestructuras preexistentes sin que las obras incidan en el cauce del río o sus márgenes; b) Cualquier superficie de ocupación temporal para la ejecución de las obras (parques de maquinaria, instalaciones auxiliares, acopio o vertido de materiales, etc.) se ubicará fuera del límite de los espacios de la Red Natura 2000. Igualmente, no se realizará tránsito de maquinaria por el interior de los Lugares de la Red Natura 2000; c) No se procederá a la realización de cortes, desvíos u otro tipo de obras que varíen los caudales circulantes en el Noguera Ribagorzana. Las obras se realizarán aprovechando el período de menor caudal circulante (invierno); d) Se velará por el mantenimiento de la calidad de las aguas del Noguera Ribagorzana mediante aportes de agua del Canal de Enlace, aguas abajo de los cruces previstos sobre el cauce; d) Se extremarán todas las medidas preventivas de impacto ambiental durante la ejecución de las obras y, entre éstas, se prestará especial atención al jalonamiento temporal de la zona de obras en las inmediaciones de los Lugares de la Red Natura 2000, así como al mantenimiento en óptimas condiciones de dicho jalonamiento.”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el escrito de promoción de este proceso constitucional recuerda que el Gobierno de Aragón requirió de incompetencia al Gobierno de la Nación respecto de esta certificación de 9 de noviembre de 2002, rechazando éste el requerimiento con el argumento de que la certificación cuestionada es una técnica asimilable al estudio de impacto ambiental, de modo que resulta aplicable la doctrina constitucional, originada con las SSTC 102/1995, de 26 de junio, y 13/1998, de 22 de enero, según la cual evaluar la afectación medioambiental de planes y proyectos no supone propiamente ejercicio de competencias en materia de gestión medioambiental, sino ejercicio de la competencia que ampara la realización de la obra o proyecto que se pretenda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una vez delimitados así los hechos relevantes, argumenta que la vulneración competencial radica en que, al asimilar la certificación cuestionada con la evaluación de impacto ambiental, “el Gobierno de la Nación niega la existencia de una competencia autonómica en materia de espacios naturales protegidos que, aunque vinculada a la competencia medioambiental, constituya una competencia específica diferenciada de esa genérica que se prevé en el art. 149.1.23 CE”, destinando el resto de sus consideraciones a fundamentar la diferencia entre ambos títulos competenciales y entre ambas técnicas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distinción entre ambos títulos competenciales destaca que “aunque guarden una evidente conexión con el medio ambiente, los espacios naturales protegidos son objeto de un título competencial adicional, definido por la especialidad que implica la materia ante la necesidad de conservar los hábitats y las especies de flora y fauna mediante una ordenación específica de la totalidad de actividades que se van a desarrollar en un determinado territorio”, aludiendo a la doctrina constitucional en que este criterio tiene reflejo: “Este Tribunal ha venido advirtiendo que, a pesar de la íntima relación existente entre las materias relativas al medio ambiente y a los espacios naturales protegidos en nuestro ordenamiento las actividades públicas relativas a estos objetos constituyen ámbitos materiales distintos, dotados de diferente distribución de funciones. Concretamente, se ha dicho que la materia medio ambiente tiene un alcance genérico, tanto en su objeto como en el tipo de protección, respecto de la materia de espacios naturales protegidos, que se refiere únicamente a un elemento u objeto de aquéllas —el soporte topográfico del medio ambiente, en palabras de la STC 102/1995, de 26 de junio— y a una determinada forma de actuación” [STC 195/1998, de 1 de octubre, FJ 3, que cita literalmente la STC 97/2002, de 25 de abril,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además, el Letrado autonómico que el protagonismo de la Comunidad Autónoma de Aragón es más intenso en el ámbito de los espacios naturales protegidos, pues mientras en él su competencia es exclusiva, en la materia medioambiental solo le compete el desarrollo legislativo y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marco competencial, el Letrado autonómico califica la actividad de expedición del certificado discutido de actividad de control en materia de espacios naturales protegidos, inscribiéndola en consecuencia en la función ejecutiva que en ese ámbito competencial tiene atribuida el Gobierno de Aragón. Admite a continuación que, a pesar de que la competencia sobre espacios naturales protegidos es exclusiva, cabría la intervención del Estado en virtud de sus facultades para fijar las bases de la protección ambiental, pero a continuación puntualiza que, tratándose de una función ejecutiva, la posibilidad de esa intervención estatal es excepcional, siendo necesaria una justificación que, por lo general, se manifestará por motivos supraautonómicos y que deberá expresar las razones por las que no se puede alcanzar el mismo objetivo mediante el establecimiento de fórmulas de coordinación de las Comunidades Autónomas en el ejercicio de sus competencias, circunstancias que, a su juicio, no concurren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últimas consideraciones del Letrado autonómico se dedican al régimen jurídico de la evaluación de impacto ambiental y su diferencia respecto de otras técnicas de control medioambiental, en especial en relación con la evaluación de la afectación de planes y proyectos a las zonas especiales de conservación y zonas de especial protección para las aves insertas en la Red Natura 2000, de la que es expresión la certificación controvertida. La evaluación de impacto ambiental se formula no atendiendo estrictamente a la protección del hábitat natural, sino también a otros elementos que, en una comprensión amplia concepto material de “medio ambiente”, superan la noción de medio natural. Junto a este mecanismo de carácter horizontal, el ordenamiento prevé evaluaciones ambientales de significado sectorial, como el art. 7 del Reglamento de actividades molestas, insalubres, nocivas y peligrosas, el art. 98 de la Ley de aguas, el art. 42.2 de la Ley de costas y la autorización ambiental integrada regulada por la Ley 16/2002, de 1 de julio. Entre estas técnicas sectoriales se cuenta también la recogida en el art. 6.3 del referido Real Decreto 1997/1995, pues no busca medir la repercusión general del proyecto examinado en el medio ambiente, entendido en sentido omnicomprensivo, sino su afectación sobre la biodiversidad de un lugar concreto que se configura como un ecosistema natural que es objeto de especial tutela para garantizar su conservación, lo que implica la necesidad de efectuar una evaluación específica, diferenciada de la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íntima con un espacio natural concreto que presenta este tipo de control, en contraste con la repercusión general en el medio ambiente que connota la evaluación de impacto ambiental, justifica el distinto encuadre competencial, con lo que no es aplicable la doctrina originada con las citadas SSTC 102/1995 y 13/1998 y, a su vez, que deba prevalecer, en virtud de su carácter más específico, la competencia autonómica respecto de los espacios naturales protegidos sobre la competencia sustantiva ligada al proyecto evaluado que pudiera hacer valer el Estado, según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el caso en que el plan o proyecto que deba ser sometido al control regulado en el art. 6.3 del Real Decreto 1997/1995 estuviese también sujeto por sus características al trámite previo de evaluación de impacto ambiental, el Letrado autonómico sostiene que uno de esos controles no absorbe al otro, no alterándose en ningún caso el reparto competencial según el cual el primero de esos controles corresponde a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mediante otrosí, el Letrado autonómico agrega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suplica que se acuerde la suspensión cautelar solicitada de dicho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por providencia de 8 de abril de 2003, acordó admitir a trámite el conflicto positivo de competencia promovido por el Gobierno de Aragón y dar traslado de la demanda y documentos presentados al Gobierno de la Nación, por conducto de su Presidente, al objeto de que en plazo de veinte días alegue lo que estime oportuno; asimismo acordó comunicar la incoación del conflicto al Decano de los Juzgados Centrales de lo Contencioso-Administrativo, por si ante los mismos estuviera impugnada o se impugnase la certificación objeto del conflicto, en cuyo caso se suspenderá el curso del proceso hasta la decisión del mismo, y conceder al Abogado del Estado un plazo de veinte días para que exponga lo que a su interés convenga acerca de la suspensión de la certificación impugnada que se pide en otrosí en la demanda; finalmente se acordó publicar la incoación del conflicto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escrito de alegaciones registrado en este Tribunal el día 22 de abril de 2003, se opone a la demanda y solicita que se dicte Sentencia declarando ajustada a la Constitución la certificación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el Abogado del Estado en primer lugar al reparto competencial entre Estado y Comunidades Autónomas para la protección del medio ambiente. Afirma en tal sentido que la STC 102/1995, de 26 de junio, FJ 3 establece, entre otros criterios, que los recursos naturales son soportes físicos de una pluralidad de actuaciones públicas y privadas en relación a los cuales la Constitución y los Estatutos de Autonomía han atribuido diversas competencias y, que dado que sobre una misma superficie o espacio natural pueden actuar distintas Administraciones públicas para diferentes funciones o competencias, resulta inevitable a continuación determinar, en cada caso, el título competencial predominante por su vinculación directa e inmediata, en virtud del principio de especificidad, operando así mediante la calificación del contenido material de cada precepto y la averiguación de su finalidad. Y concluye Abogado del Estado que en el presente caso el título competencial predominante, tanto por la finalidad inmediata (obtención de financiación), como por la finalidad mediata (realización de una obra), es la competencia sustantiva en cuyo ejercicio consiste la realización del proyecto u obra a realizar, de forma que la emisión de una certificación de evaluación ambiental de la misma, no supone ejercicio de competencias en materia de gestión del medio ambiente, sino de la competencia que justifica el proyecto u obra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otra alegación en la que analiza el art. 6.3 del Real Decreto 1997/1995 y afirma que en su virtud la Dirección General de Conservación de la Naturaleza del Ministerio de Medio Ambiente expidió la certificación objeto del conflicto, que contiene una declaración que se realizó en el ámbito de un procedimiento de solicitud de fondos de cohesión europeos cuya finalidad inmediata es la obtención de la financiación del proyecto y la mediata es la realización de la obra. No cabe duda —sigue razonando el Abogado del Estado— de que entre la evaluación de impacto ambiental y la evaluación de repercusión sobre las zonas protegidas integrantes de la Red Natura 2000, prevista en el 6.3 Real Decreto 1997/1995, se da una analogía que permite considerar, como tuvo oportunidad de señalar la citada STC 13/1998, que su finalidad es la de facilitar a las autoridades competentes información adecuada que les permita decidir sobre un determinado proyecto con pleno conocimiento de sus posibles impactos significativos en el medio ambiente. Y a partir de esa consideración, y en aplicación de la doctrina constitucional de la STC 13/1998, que cita, deduce el Abogado del Estado que tal declaración no supone ejercicio de competencias ni en materia de medio ambiente ni de espacios naturales protegidos, sino de una competencia a la que están anudados el proyecto u obra pública concretos que se pretende ejecutar por la Administración que la tiene atribuida, competencia que no resulta discutida en la demanda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manifestando su oposición a la suspensión de la certificación objeto del presento conflicto, por entender que no se justifica la existencia de perjuicio alguno de imposible o difícil reparación, sino que antes al contrario se produciría, en su opinión, un perjuicio al interés general si se acordase la suspensión, al impedirse con ello la financiación y posterior ejecución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ATC 190/2003, de 3 de junio, se acordó no acceder a la suspensión de la eficacia de la certificación de la Dirección General de Conservación de la Naturaleza del Ministerio de Medio Ambiente, de 9 de noviembre de 2002, sobre afección de los proyectos y actuaciones a la conservación de la diversidad en zonas de especial conservación y en zonas de especial protección de las 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marzo de 2013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Aragón contra la certificación de 9 de noviembre de 2002 sobre afección de los proyectos y actuaciones a la conservación de la diversidad en las zonas especiales de conservación y en las zonas de especial protección para las aves, expedida por la Dirección General de Conservación de la Naturaleza del Ministerio de Medio Ambiente en relación con el proyecto titulado “Construcción de abastecimiento de Agua a Lleida y núcleos urbanos de la zona regable del canal de Piñana, fase II”, por invadir la competencia exclusiva autonómica en materia de espacios naturales protegidos (art. 31.1.15 del Estatuto de Autonomía de Aragón, aprobado por Ley Orgánica 8/1982, de 10 de agosto, en la redacción dada al mismo por la Ley Orgánica 5/1996, de 30 de diciembre), según las razones que han quedado reflejadas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defiende la constitucionalidad de la actuación impugnada, por los motivos que también se resumen en los antecedentes de esta Sentencia, rechazando que se vulnere competencia alguna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adentrarnos en el problema competencial planteado en el presente conflicto hemos de considerar la incidencia de las modificaciones normativas acaecidas durante su 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con nuestra doctrina constitucional sobre el ius superveniens en procesos de naturaleza competencial, la verificación de si un acto o una norma incurren en un posible exceso competencial ha de hacerse de acuerdo con las reglas que operan como parámetro de enjuiciamiento que estén vigentes en el momento de dictar sentencia [por todas, STC 208/2012, de 14 de noviembre, FJ 2 b)]. Procede, por ello, señalar que este pronunciamiento se hará a la luz de la delimitación de competencias que resulte de la Ley Orgánica 5/2007, de 20 de abril, de reforma del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es doctrina constitucional que en los procesos de contenido competencial la pervivencia del objeto depende que haya “cesado o no la controversia competencial, toda vez que poner fin a la misma a la luz del orden constitucional de reparto de competencias es el fin último al que sirven tales procesos” [por todas, STC 149/2012,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del escrito rector de este proceso constitucional deja claro que el Gobierno autonómico recurrente impugna la certificación de 9 de noviembre de 2002 emitida por la Dirección General de Conservación de la Naturaleza del Ministerio de Medio Ambiente en la medida que dicha certificación es manifestación de la discrepancia existente sobre a quien compete “expedir las certificaciones sobre afección de los proyectos públicos y privados a las ZEC [zonas especiales de conservación] y ZEPAS [zonas especiales de protección para las aves] que se encuentran en el territorio de la Comunidad Autónoma de Aragón y que están incluidas en la Red Natura 2000”. Por este motivo, hay que tener en cuenta las modificaciones normativas acaecidas durante la pendencia de este proceso en la regulación estatal de esta materia, pues, aun no imputándose a dicha normativa el exceso competencial, si hubieran introducido cambios sustanciales que evidenciaran que dichas certificaciones serán expedidas por el órgano autonómico competente la controversia competencial habría desaparecido, por lo que el proceso habría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certificación a la que la parte recurrente reprocha la extralimitación competencial es aplicación del art. 6 del Real Decreto 1997/1995, de 7 de diciembre, que establece medidas para contribuir a garantizar la biodiversidad mediante la conservación de los hábitats naturales y de la fauna y flora silvestres, precepto transcrito en su integridad en los antecedentes. Pues bien, el Real Decreto 1421/2006, de 1 de diciembre, modifica el apartado 4 y añade los apartados 5 y 6, todos del art. 6 del Real Decreto 1997/1995, que quedan redactados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a pesar de las conclusiones negativas de la evaluación de las repercusiones sobre el lugar y a falta de soluciones alternativas, debiera realizarse un plan, programa o proyecto por razones imperiosas de interés público de primer orden, incluidas razones de índole social o económica, las administraciones públicas competentes tomarán cuantas medidas compensatorias sean necesarias para garantizar que la coherencia global de la Red Natura 2000 quede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adopción de las medidas compensatorias se llevará a cabo, en su caso, durante el procedimiento de evaluación ambiental de planes y programas y de evaluación de impacto ambiental de proyectos, de acuerdo con lo dispuesto en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planes, programas y proyectos autorizados por la Administración General del Estado y sometidos a su vez a evaluación de impacto ambiental, las medidas compensatorias serán fijadas por el Ministerio de Medio Ambiente. Para la definición de dichas medidas, se consultará específicamente al órgano de la Comunidad Autónoma competente para la gestión del espacio de la Red Natura 2000 afectado por el plan, programa o proyecto. El plazo para la emisión de dicho informe será de treinta días. En el supuesto de discrepancias sobre las medidas compensatorias, el Ministerio de Medio Ambiente constituirá un grupo de trabajo con representantes de dicho departamento y de la comunidad autónoma afectada para definir, de común acuerdo y en el plazo máximo de treinta días, las medidas compensatorias que deberán incorporarse al plan, programa o proyecto. En caso de persistir el desacuerdo, el Ministerio de Medio Ambiente determinará las medidas compensatorias tomando en consideración el parecer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restantes supuestos, corresponderá a las Comunidades Autónomas la evaluación de las repercusiones en el espacio de la Red ecológica europea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caso de que el lugar considerado albergue un tipo de hábitat natural y/o una especie prioritarios, únicamente se podrán alegar consideraciones relacionadas con la salud humana y la seguridad pública, o relativas a consecuencias positivas de primordial importancia para el medio ambiente, o bien, otras razones imperiosas de interés público de primer orden. En este último caso, a través del cauce correspondiente, habrá que consultar previamente a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momento en que un lugar figure en la lista de lugares de importancia comunitaria, éste quedará sometido a lo dispuesto en los apartados 2, 3 y 4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será de aplicación a las zonas de especial protección para las aves, declaradas, en su caso, por las Comunidades Autónomas correspondientes, al amparo del artículo 4 de la Directiva 79/409/CEE lo establecido en los apartados 2, 3 y 4 de este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Comunidades Autónomas, en el ámbito de sus competencias, comunicarán al Ministerio de Medio Ambiente las medidas compensatorias que hayan adoptado y éste, a través del cauce correspondiente, informará a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tiene incidencia en esta materia la disposición adicional cuarta del Real Decreto Legislativo 1/2008, de 11 de enero, por el que se aprueba el texto refundido de la Ley de evaluación de impacto ambiental de proyectos,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evaluación de los proyectos que, sin tener relación directa con la gestión del lugar de que se trate de la Red Natura 2000 o sin ser necesario para la misma, pueda afectar de forma apreciable a los citados lugares ya sea individualmente o en combinación con otros planes o proyectos, se someterá a una adecuada evaluación de sus repercusiones en el lugar teniendo en cuenta los objetivos de conservación de dicho lugar, conforme a lo dispuesto en la Ley 42/2007, de 13 de diciembre, de Patrimonio Natural y de la Biodiversidad, sin perjuicio de lo establecido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supuesto de proyectos autorizados o aprobados por la Administración General del Estado, a la vista de las conclusiones de la evaluación de impacto ambiental sobre las zonas de la Red Natura 2000, y supeditado a lo dispuesto en el apartado 4 del artículo 6 del Real Decreto 1997/1995, de 7 de diciembre, por el que se establecen medidas para contribuir a garantizar la biodiversidad mediante la conservación de los hábitats naturales y de la fauna y flora silvestres, el Ministerio de Medio Ambiente fijará las medidas compensatorias necesarias para garantizar la coherencia global de Natura 2000. Para su definición, se consultará preceptivamente al órgano competente de la Comunidad Autónoma en la que se localice el proyecto, cuyo parecer podrá ser incorporado a la declaración de impacto ambiental que emita el órgano ambiental estatal. El plazo para la evacuación de dicho informe será de 30 días. Transcurrido dicho plazo sin que se hubiere emitido el informe, el órgano ambiental estatal podrá proseguir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remisión, en su caso, de la información a la Comisión Europea sobre las medidas compensatorias que se hayan adoptado se llevará a cabo por el Ministerio de Medio Ambiente en los términos previstos en el artículo 10 de la Ley 30/1992,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149/2012, de 5 de julio, FJ 2 b), nos pronunciamos sobre esta cuestión, precisamente al considerar si con carácter sobrevenido había perdido su objeto un proceso competencial en el que la controversia competencial era similar, si bien que en aquel caso la parte recurrente —Consejo de Gobierno de la Junta de Andalucía— imputaba la eventual invasión a la disposición adicional cuarta introducida por el art. 127.3 de la Ley 62/2003 en el Real Decreto Legislativo 1302/1986, de 28 de junio, disposición que ha sido sustituida por el último precepto transcrito. Y dijimos que “[c]omo se advierte con facilidad, la nueva regulación no introduce modificaciones sustanciales respecto a la anterior. La vigente disposición adicional cuarta del Real Decreto Legislativo 1/2008 sigue atribuyendo a la Administración del Estado la competencia para la realización de la evaluación de los proyectos que puedan afectar de forma apreciable a las zonas de la Red Natura, así como la determinación de las medidas compensatorias que puedan ser necesarias, en relación con los proyectos que deban ser autorizados o aprobados por la propia Administración del Estado, aspecto éste que el Consejo de Gobierno de la Comunidad Autónoma de Andalucía considera contrario al orden constitucional de competencias por invadir las competencias que le corresponden en materia de espacios naturales protegidos y de gestión de la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que no dejó de tener en cuenta la citada modificación introducida por el Real Decreto 1421/2006 en el art. 6.4 del Real Decreto 1997/1995, pues a este precepto se refiere expresamente la disposición adicional cuarta del Real Decreto Legislativo 1/2008 en los términos ya indicados, es plenamente aplicable a este caso, donde la controversia competencial versa sobre si la expedición de este tipo de certificaciones invade la competencia autonómica sobre la gestión de espacios naturales protegidos, competencia que la Comunidad Autónoma de Aragón tiene atribuida con idéntico alcance que la Comunidad Autónoma de Andalucía, todo lo cual nos lleva a constatar que la controversia competencial no ha desaparecido, requiriendo de este Tribunal un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en este proceso constitucional tenemos que decidir, por tanto, es si la expedición de las certificaciones sobre afección de los proyectos públicos y privados a las zonas especiales de conservación y a las zonas de especial protección para las aves que se encuentren en el territorio de la Comunidad Autónoma de Aragón es una materia inscrita en la competencia sustantiva que se materializa con la obra o actividad cuya incidencia se evalúa o si, por el contrario, se encuadra en la competencia sobre espacios naturales protegidos atribuida con el carácter de exclusiva a la Comunidad Autónoma de Aragón por el art. 71.21 del Estatuto de Autonomía de Aragón de 2007. No es un problema, pues, de que sobre la materia controvertida concurran dos competencias completamente válidas, la competencia sustantiva del Estado y la autonómica sobre espacios naturales protegidos, sino de en cuál de ellas queda comprendida, dado su contenido material y finalidad, la materia disputada, que es concretamente la emisión de los certificados sobre afección de proyectos a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del criterio que habremos de usar para resolver esa controversia ha de tener en cuenta la doctrina constitucional establecida en la citada STC 149/2012, de 5 de julio, que resuelve un conflicto que, si bien distinto, tiene elementos muy relevantes en común con el presente y en el que hicimos pronunciamientos que son de utilidad en lo que aquí interesa. En aquella ocasión también se trataba del encuadramiento competencial de las certificaciones sobre afectación a las zonas especiales de conservación y zonas de especial protección para las aves, sólo que entonces la parte recurrente oponía frente a la competencia sustantiva del Estado su competencia sobre la gestión de la protección ambiental, sosteniendo que la materia controvertida encontraba en esta última su mejor acomodo. En el presente conflicto, por el contrario, el Gobierno de Aragón centra su esfuerzo argumental en que dichas certificaciones, dado que tienen por objeto facilitar la información ambiental específica en tanto que circunscrita a las repercusiones de un proyecto sobre un determinado espacio, no constituyen tanto una técnica transversal (como lo es la evaluación de impacto ambiental) como un mecanismo de control de índole sectorial y se incardina, en consecuencia, en su competencia exclusiva sobre espacios naturales protegidos (no en su competencia sobre gestión de la protección ambiental) y no, por tanto, en la competencia sustantiva del Estado que ampara la obra o actividad cuya eventual afectación se valora.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Dijimos en la citada STC 149/2012 que “de acuerdo con la doctrina de este Tribunal, establecida en la STC 13/1998, de 22 de enero, y reiterada en otras posteriores (SSTC 101/2006, de 30 de marzo; 1/2012, de 13 de enero; y 34/2012, de 15 de marzo), es conforme con el orden constitucional de competencias que la normativa confíe la evaluación de impacto ambiental a la propia Administración estatal que realiza o autoriza el proyecto de una obra, instalación o actividad que se encuentra sujeta a su competencia pues, en tales casos, ‘la Administración estatal ejerce sus propias competencias sustantivas sobre la obra, la instalación o la actividad proyectada, aun cuando preceptivamente deba considerar su impacto ambiental’ (STC 13/1998, FJ 8). Así lo pone de manifiesto el ‘que la declaración de impacto ambiental determine la conveniencia o no de realizar el proyecto’’ y que, en caso afirmativo, fije las condiciones en que se debe realizar, estando el contenido de la declaración ‘llamado a integrarse en la autorización que concederá el órgano titular de la competencia sustantiva sobre el proyecto’ (STC 13/1998, FJ 7). En definitiva, el Tribunal ha considerado que la evaluación de impacto ambiental es una técnica transversal que condiciona la actuación estatal ‘que se materializa físicamente, produciendo las consiguientes repercusiones en el territorio y en el medio ambiente de una o varias Comunidades Autónomas’ y que no puede caracterizarse como ‘ejecución o gestión en materia de medio ambiente’ porque su finalidad es que todas las Administraciones públicas ‘valoren el medio ambiente cuando ejercen sus competencias sobre cualquiera de las obras, instalaciones u otras actividades de su competencia’; obras, instalaciones y actividades que forman parte de materias que están ‘sometidas por la Constitución y los Estatutos de Autonomía a reglas específicas de reparto de competencias, que son títulos que por su naturaleza y finalidad atraen a la de medio ambiente, cuyo carácter complejo y multidisciplinario afecta a los más variados sectores del ordenamiento’ (STC 13/1998, FJ 8).” (STC 149/2012,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 la luz del contexto normativo de las certificaciones que nos ocupan, reconocimos que “[l]a evaluación ambiental de las zonas de especial conservación que prevén tanto la Directiva como la Ley 42/2007, 13 de diciembre, de patrimonio natural y biodiversidad, y el Real Decreto 1997/1995 es, por tanto, una técnica de evaluación diferenciada de la evaluación de impacto ambiental que tiene su propia metodología —aunque, en ocasiones, pueda inspirarse en la de esta última—, así como un objeto y una finalidad más específicos que consiste en el análisis de las repercusiones de planes y proyectos que puedan afectar de forma apreciable a las zonas de especial conservación para preservar su integridad y objetivos de conservación, así como, en general, para garantizar la coherencia de la Red Natura 2000”. Pero que, a pesar de esa diferencia, “la evaluación ambiental de las zonas especiales de conservación es una técnica muy similar a la evaluación de impacto ambiental, pues al igual que ésta tiene por finalidad que las Administraciones públicas valoren la afección al medio ambiente —aunque en este caso, la valoración se limite a la afección a un elemento específico del medio ambiente— cuando hayan de decidir acerca de la autorización o aprobación de un plan o proyecto que puedan afectar de forma apreciable a espacios de la Red Natura 2000. Es decir, se trata de un informe sectorial que determina la conveniencia o no de realizar determinadas obras o actividades desde la perspectiva de sus repercusiones sobre este tipo de espacios. Obras y actividades que —como hemos dicho en relación con la evaluación de impacto ambiental—, están sometidas por la Constitución y los Estatutos de Autonomía a sus propios títulos competenciales. Títulos competenciales que atraen al medioambiental (STC 13/1998, FJ 8) y, por tanto, también a la evaluación ambiental de los planes y proyectos que puedan afectar de forma apreciable a espacios de la Red Natura. Es, por tanto, acorde con la distribución constitucional de competencias que la legislación atribuya a la Administración del Estado la realización de la evaluación ambiental de las zonas especiales de conservación en aquellos casos en los que el plan o proyecto debe ser autorizado o aprobado por ella tras la realización de la correspondiente evaluación de impacto ambiental integrándose, en estos casos, dada su naturaleza sectorial, la evaluación ambiental de la zona especial de conservación —como técnica específica de evaluación— en la más general de la evaluación de impacto ambiental, garantizándose, en todo caso, la consulta —por la vía del informe preceptivo— a las Comunidades Autónomas en cuyo territorio se ubique el proyecto en cuestión.” (STC 149/2012,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ratio, según la cual el elemento determinante del encuadre competencial de este tipo de certificación es su vínculo finalista con la decisión de realizar o no la obra o actividad cuyas consecuencias se evalúan (“se trata de un informe sectorial que determina la conveniencia o no de realizar determinadas obras o actividades desde la perspectiva de sus repercusiones sobre este tipo de espacios”), es igualmente decisiva cuando el conflicto se traba entre la competencia sustantiva estatal que da cobertura a la obra o actividad y la competencia autonómica exclusiva sobre espacios naturales protegidos, procediendo, por tanto, que declaremos que esta clase específica de evaluación ambiental es una materia que se incardina en el primer título y no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señalamos en la STC 102/1995, de 26 de junio, FJ 18, que la gestión de los espacios naturales protegidos “corresponde en principio a las Comunidades Autónomas. No sólo la Constitución la encomienda a aquéllas, sino que además estatutariamente se les defiere la función ejecutiva no sólo en el ámbito entero de la protección del medio ambiente, comprendidos los espacios naturales, trátese de las normas básicas como de las adicionales y de las que se dicten para su desarrollo, legislativas y reglamentarias, estatales o no, sino también en las diferentes facetas que conllevan la administración, la inspección y la potestad sancionadora”. Coherentemente con esta doctrina constitucional, el Real Decreto 1997/1995 prevé que “[r]especto de las zonas especiales de conservación las Comunidades Autónomas correspondientes fijarán las medidas de conservación necesarias” (art. 6.1) y “adoptarán las medidas apropiadas para evitar en las zonas especiales de conservación el deterioro de los hábitats naturales y de los hábitats de especies” (art. 6.2). Correlativamente, les corresponde también a las Comunidades Autónomas como una submateria que forma parte de la gestión de los espacios naturales protegidos la inspección de su cumplimiento y el consiguiente ejercicio de la potestad sancionadora cuando sean incumplidas.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queda fuera de esa función ejecutiva en materia de espacios naturales protegidos la evaluación de la repercusión que para un lugar concreto conlleva una obra o actividad cuando está orientada a facilitar al órgano competente sobre ella la información ambiental específica para decidir si se realiza o no y, en su caso, en qué condiciones se hace, pues una evaluación así configurada tiene una finalidad estrechamente vinculada con la obra o actividad de que se trate, cual es que todos los entes públicos valoren el medio ambiente, en este caso un elemento específico del medio ambiente, cuando ejercen sus atribuciones sobre cualquiera de las obras, instalaciones u otras actividades de su competencia, valoración ambiental que, como no podía ser de otra manera, debe tener en cuenta los objetivos de conservación del lugar de que se trate, como expresamente constata tanto el art. 6.3 del Real Decreto 1997/1995 como el apartado 1 de la disposición adicional cuarta del Real Decreto Legislativo 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certificación de 9 de noviembre de 2002 fue expedida por la Dirección General de Conservación de la Naturaleza del Ministerio de Medio Ambiente en aplicación del citado art. 6.3 del Real Decreto 1997/1995, que, como consta en los antecedentes de la presente Sentencia, es transcripción literal del art. 6.3 de la Directiva 92/43/CEE. Tiene por objeto valorar las repercusiones sobre los lugares de la Red Natura 2000 del proyecto titulado “Construcción de abastecimiento de Agua a Lleida y núcleos urbanos de la zona regable del canal de Piñana, fase II” y declara que “no tendrá efectos negativos apreciables en lugares incluidos en la Red Natura 2000, siempre que se cumplan las siguientes condiciones”, de las cuales también se ha dejado constancia en los antecedentes. Dicha declaración se inscribe en el ámbito de un procedimiento de solicitud de fondos de cohesión de la Unión Europea cuya finalidad inmediata es la obtención de la financiación del proyecto y la mediata es la realización de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descripción de la certificación objeto de este conflicto se desprende que el proyecto cuyas repercusiones se examina no tiene como objeto inmediato actuar en la gestión de los lugares de la Red Natura 2000, sino asegurar que una obra de infraestructura orientada a favorecer el abastecimiento de agua a municipios de gran población usando para ello aguas que discurren por más de una Comunidad Autónoma, que es a todas luces una competencia del Estado (arts. 149.1.22 y 149.1.24 CE), incorpore en su realización la consideración de sus efectos respecto de ese tipo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expuesta, y dada la función instrumental que desempeña en relación a una obra de evidente competencia estatal, hemos de concluir que la certificación objeto del conflicto resulta amparada por la competencia sustantiva estatal de la que es ejercicio el proyecto examinado y que, en consecuencia, no supone una invasión de la competencia exclusiva que corresponde a la Comunidad Autónoma de Aragón sobre los espacios naturales protegidos que se encuentran en su territorio, procediendo por todo ello desestimar este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