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30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10617-2006, avocado al Pleno, promovido por don Jon Sebasten Gurtubai Sánchez, representado por el Procurador de los Tribunales don Javier Cuevas Rivas y asistido por el Letrado don Alfonso Zenón Castro, contra la Sentencia de la Sala de lo Penal del Tribunal Supremo de 4 de octubre de 2006 que desestimó el recurso de casación núm. 10203-2006 interpuesto contra la Sentencia de la Sección Segunda de la Sala de lo Penal de la Audiencia Nacional de 30 de noviembre de 2005, dictada en el rollo núm. 30-2003. Ha intervenido el Ministerio Fiscal.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noviembre de 2006, el Procurador de los Tribunales don Javier Cuevas Rivas, en nombre y representación de don Zigor Blanco Santiesteban,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en los que tiene su origen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Penal de la Audiencia Nacional dictó Sentencia el 30 de noviembre de 2005 por la que condenó al recurrente, junto a otras cuatro personas, como autor de dos delitos de asesinato terrorista en grado de tentativa, a la pena de diez años de prisión por cada uno, con la accesoria de dieciséis años de inhabilitación absoluta; y, como autor de un delito de daños, a la pena de dos años de prisión con la accesoria de nueve años de inhabilitación absoluta; así como a la responsabilidad civil consiguiente, en favor de las víctimas y entidades perjudicadas por los daños y perjuicios causados; y al abono de las costas procesales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relato de los hechos declarados probados, el recurrente, junto a otros integrantes de un grupo organizado y siguiendo un plan preestablecido en el marco de las acciones de la llamada lucha callejera o “kale borroka”, el día 5 de agosto de 2001, tras inutilizar previamente el alumbrado público, procedieron a lanzar artificios incendiarios contra la sucursal núm. 5 de la entidad bancaria BBK en Portugalete, al objeto de que acudieran funcionarios de la Ertzaintza. Personados dos agentes en un vehículo camuflado, fueron reconocidos por los asaltantes, quienes procedieron a romper los cristales del vehículo policial con numerosos objetos contundentes y lanzaron a su interior “cócteles molotov”, incendiando el vehículo y causando graves quemaduras a los dos agentes que se encontraban en su interior, quienes tuvieron que ser rescatados por otros compañeros que acudieron en su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resultas de dicha acción, uno de los agentes sufrió quemaduras en el 10 por 100 de su cuerpo, que le afectaron a la cara, espalda y brazo izquierdo, quedándole secuelas diversas; el segundo agente sufrió quemaduras en el 30 por 100 de su cuerpo, que le afectaron a la cara, cuello, ambas manos, antebrazos, brazos y espalda, quedándole también importantes secuelas. Se causaron daños en la oficina bancaria y en diversos vehículos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Sentencia, por infracción de precepto constitucional, invocando la lesión de sus derechos a la intimidad (art. 18.1 CE) y a la autodeterminación informativa (art. 18.4 CE), así como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dictó la Sentencia núm. 949/2006, de 4 de octubre, mediante la que desestimó el recurso de casación presentado por el recurrente, confirmándose así el pronunciamiento condenatorio de instancia respecto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derecho a la intimidad personal (art. 18.1 CE) a causa de que el análisis del perfil genético del recurrente fue realizado por la policía autonómica sin ningún tipo de control. Se afirma que esta prueba se realizó tras haber recogido un agente policial un vaso utilizado por el recurrente en un bar, confrontándose con los restos genéticos hallados en una prenda utilizada durante la actuación delictiva. Considera que tal análisis, pese a no suponer una intervención corporal, habría precisado de autorización judicial, pues afecta al derecho a la intimidad, al poder revelar datos sensibles e íntimos de la persona, por lo que su práctica debió estar rodeada de esta garantía, para tener así seguridad de que las personas que lo realizan no se exceden en su cometido y evitar abusos o cesión de datos a terceros no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demandante la infracción de la garantía de “autodeterminación informativa” prevista en el art. 18.4 CE, a causa de que la Ertzaintza habría procedido a incluir en una base de datos informatizada el resultado del análisis de las muestras genéticas del recurrente, sin ningún tipo de control administrativo ni de otro orden, sin que se sepa quién o quiénes tienen acceso a tales datos ni quiénes son sus responsables, ni si esos datos personales van a ser utilizados para otros fines o durante cuánto tiempo se conservarán y si podrán ser utilizados en futuros procedimientos penales. Se habría actuado por dicha policía autonómica al margen de la normativa vigente, por lo que estaríamos ante un ataque a la intimidad, por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aduce la infracción del derecho a la presunción de inocencia (art. 24.2 CE) porque los órganos judiciales habrían apreciado como prueba de cargo el análisis de ADN, que no puede considerarse válida por haberse realizado sin autorización judicial, resultando que todas las demás derivadas de esta prueba también han de reputarse ilícitas por aplicación de lo dispuesto en el art. 11.1 de la Ley Orgánica del Poder Judicial (LOPJ). Además, se da una falta absoluta de intervención judicial en “la toma de muestra indubitada” (la que se encontraba en el vaso utilizado por el recurrente), siendo así que cuando se quiere que esta diligencia tenga carácter probatorio ha de intervenir un Juez, de forma que con su participación queden precisados el objeto recogido, el lugar donde éste se encontraba y las demás circunstancias necesarias para dejar acreditada la pertenencia a la persona a la que se atribuye. En este caso el análisis se ha practicado sobre muestras biológicas del recurrente obtenidas y conservadas subrepticiamente, no siendo recogidas por un médico forense sino por un policía sin ninguna preparación al respecto. Por otra parte, no se documentó convenientemente la recogida de las muestras, no existiendo la más mínima “cadena de custodia” que demuestre que la evidencia recogida contenga la saliva del recurrente, dándose cuenta al Juez de estas diligencias muy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también lesionado el derecho a la presunción de inocencia (art. 24.2 CE) porque, con independencia de la licitud o no de la prueba de ADN, no concurre prueba de cargo suficiente para la condena. Así, este análisis no pasa de ser sino una mera prueba indiciaria, limitándose el órgano judicial en este caso a recoger la coincidencia del perfil genético del imputado con el encontrado en la prenda intervenida, sin darse explicación alguna sobre cómo tal circunstancia avalaría su participación en los hechos probados. Por el contrario, concurren otros elementos probatorios, como las declaraciones prestadas en el juicio oral por algunos testigos, que conducirían a una conclusión contraria, al desprenderse de éstas que la prenda encontrada podría haber estado en el lugar de los hechos con anterioridad o bien podría haber sido utilizada por otra persona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entiende el demandante que se ha producido una violación de su derecho a un proceso con todas las garantías (art. 24.2 CE), por cuanto el recurso de casación interpuesto no ha satisfecho el derecho a la doble instancia en materia penal establecido en el art. 14.5 del Pacto internacional de los derechos civiles y políticos (PIDCP). Dicho recurso no habría supuesto un mecanismo efectivo de control del fallo condenatorio y de la pena impuesta, al no permitir al Tribunal Supremo proceder a una nueva valoración de la prueba y de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2008 la Sección Cuarta de este Tribunal, de conformidad con lo dispuesto en el art. 50.3 de la Ley Orgánica del Tribunal Constitucional (LOTC) en su redacción anterior a la aprobada por la Ley Orgánica 6/2007, de 24 de mayo, acordó conceder un plazo común de diez días a la parte demandante de amparo y al Ministerio Fiscal para que formularan las alegaciones que estimasen pertinentes acerca de la conveniencia de apreciar la causa de inadmisión prevista en el art. 50.1 c) LOTC, consistente en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cumplimentó el trámite de alegaciones mediante escrito registrado el 1 de diciembre de 2008, en el que sostuvo que el recurso no carecía de contenido constitucional, reiterando en lo sustancial los razonamientos jurídicos ya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del Tribunal el día 3 de diciembre de 2008, el Ministerio Fiscal formuló sus alegaciones, solicitando la inadmisión de la demanda por falta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análisis genético practicado por la policía autonómica sin contar con autorización judicial ni consentimiento del afectado, comienza el Fiscal señalando que desvelar el ADN no codificante a los meros efectos identificativos de una persona para su imputación criminal comporta una injerencia mínima en su derecho a la intimidad, pues todas las personas poseen datos identificativos de público conocimiento y de obligada constatación desde el momento mismo de su nacimiento. No obstante, la ley puede autorizar a la policía judicial la práctica de determinadas inspecciones, reconocimientos e incluso intervenciones corporales leves, señalando el art. 11.1 g) de la Ley Orgánica 2/1986, de 13 de marzo, de fuerzas y cuerpos de seguridad, que éstas, entre otras funciones, tienen la de “investigar los delitos para descubrir y detener a los presuntos culpables, asegurar los instrumentos, efectos y pruebas del delito, poniéndoles a disposición del Juez o Tribunal competente y elaborar los informes técnicos y periciales procedentes”, por lo que, en este caso, el análisis de las muestras biológicas recogidas tiene cobertura legal. Por lo demás, el analizar la saliva que quedó en un vaso para poder determinar el perfil genético de una persona a los meros efectos identificativos, a fin de compararlo con el perfil genético de personas implicadas en graves hechos delictivos cuya identidad era desconocida, respeta los principios de proporcionalidad y razonabilidad, al no existir otro modo de posible actuación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lesión de la libertad informativa del art. 18.4 CE, rechaza el Fiscal que se haya producido, pues el análisis se ha realizado por un organismo público sujeto a una rígida normativa en su funcionamiento y a los mecanismos de control y seguridad normativamente previstos. De otra parte, el fichero en el que se recogen los datos investigados está excluido del régimen de la Ley Orgánica 15/1999, de 13 de diciembre, de protección de datos de carácter personal, a la vista de su art. 2.2 c), al tratarse de la investigación del “terrorismo y otras formas graves de delincuencia organizada”. Así las cosas, los datos archivados se limitan a desvelar los perfiles genéticos pertenecientes a autores de delitos de estas características para proceder a su identificación, concurriendo las notas tanto de necesidad como de adecuación y proporción, pues, dada la forma de actuación delictiva, la identidad de los partícipes en la misma no es susceptible de ser conocida por otros métodos.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toma de las muestras, razona el Ministerio público que parece claro que el vaso utilizado por el demandante podía ser recogido por los funcionarios policiales. No sólo esta actuación estaría amparada por el art. 11.1 de la Ley Orgánica 2/1986 y el art. 282.1 de la Ley de enjuiciamiento criminal, que autorizan a la policía judicial a recoger las pruebas de los delitos, sino que también parece razonable que una pronta y cuidadosa recogida de estos restos biológicos, para evitar así riesgos de manipulación y contagio, presenta menos riesgos que una actuación más alejada en el tiempo. Por otra parte, la concurrencia en este caso de la denominada “cadena de custodia” de dichas muestras ha podido ser valorada por los órganos judiciales a través de los testimonios en el juicio oral de los policías intervinientes, tanto de los que recogieron el vaso, como de los que lo enviaron al laboratorio y de los peritos que realizaron los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al cuarto motivo, entiende el Fiscal que no se ha producido lesión alguna de la presunción de inocencia, pues la Sentencia condenatoria tuvo por acreditados los hechos en virtud de una pluralidad de pruebas testificales y periciales, extendiéndose en sus razonamientos sobre la coincidencia del perfil genético del recurrente con el hallado en la prenda intervenida. Además, el órgano judicial examinó la prueba de descargo presentada por su defensa, considerándola irrelevante, apareciendo huérfana de todo sustento la afirmación que se hace en la demanda de que otros indicios avalarían una conclusión contraria respecto a la autoría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aprecia el Fiscal una vulneración del derecho a la segunda instancia penal, porque las cuestiones planteadas por el condenado en su recurso de casación (sobre la validez del análisis de ADN, ausencia de prueba de cargo para su condena y otras) han sido examinadas por el Tribunal Supremo, satisfaciéndose así las exigencias del art.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 de marzo de 2009 la Sala Segunda de este Tribunal acordó admitir a trámite la demanda y, a tenor de lo dispuesto en el art. 51 LOTC, solicitar a la Sala de lo Penal del Tribunal Supremo y a la Sección Segunda de la Sala de lo Penal de la Audiencia Nacional la remisión de certificación o fotocopia adverada de las actuaciones correspondientes al recurso de casación núm. 10203-2006 y al rollo núm. 30-2003, respectivamente. También se acordó que se procediera al emplazamiento de quienes hubiesen sido parte en el procedimiento, excepto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solicitado, por otrosí en la demanda, la suspensión de la ejecución de la Sentencia condenatoria impugnada, por providencia de 3 de marzo de 2009 la Sala Segunda acordó formar la correspondiente pieza separada de medidas cautelares y, de conformidad con lo previsto en el art. 56.4 LOTC, conceder un plazo común de tres días al Ministerio Fiscal y a la parte recurrente para que alegasen lo que estimaran pertinente en relación con dicha pretensión. El Ministerio Fiscal evacuó el trámite de alegaciones mediante escrito registrado en este Tribunal con fecha 11 de marzo de 2009, interesando que se denegase la suspensión de la ejecución de la Sentencia impugnada en todos sus pronunciamientos. El demandante reiteró su solicitud por escrito de 16 de marzo de 2009. Finalmente, la Sala dictó el ATC 113/2009, de 20 de abril, mediante el que se denegó la suspensión solicitada, tanto en relación a las penas privativas de libertad y sus accesorias, como en orden a los pronunciamientos de contenido patrimonial 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2 de julio de 2009 se acordó, a tenor de lo dispuesto en el art. 52.1 LOTC, dar vista de las actuaciones remitidas por los órganos judiciales al Ministerio Fiscal y al recurrente en amparo, por un plazo común de veinte días, para que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cumplimentó este trámite de alegaciones el 30 de julio de 2009, solicitando la denegación del amparo, con base en los razonamientos ya expuestos en su anterior informe. La representación procesal del demandante de amparo presentó escrito, registrado el 1 de septiembre de 2009, en el que se ratifican las alegaciones contenidas en el escrito de demanda y se añaden algunas consideraciones en refuerzo de las anteriores pero sin alterar su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propuesta de la Sala Segunda y de conformidad con lo establecido el art. 10.1 n) LOTC, el Pleno del Tribunal, por providencia de 7 de mayo de 2013,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enero de 2014, se acordó señalar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proceso de amparo la Sentencia de la Sección Segunda de la Sala de lo Penal de la Audiencia Nacional de 30 de noviembre de 2005 que condenó al recurrente como autor de dos delitos de asesinato terrorista en grado de tentativa y un delito de daños, así como la Sentencia de la Sala de lo Penal del Tribunal Supremo de 4 de octubre de 2006 que desestimó el recurso de casación formulado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atribuye a estas resoluciones la vulneración de su derecho a la intimidad personal (art. 18.1 CE), al haberse realizado por la policía autonómica vasca sin autorización judicial un análisis de muestras biológicas suyas que fue confrontado con el de otras halladas en el lugar de los hechos; al tiempo, se habría infringido el derecho a la “autodeterminación informativa” reconocido en el art. 18.4 CE, por haberse incluido su perfil de ADN en un fichero policial sin respetarse las garantías previstas en el ordenamiento para el tratamiento de este tipo de datos de naturaleza personal. Además, dice haberse infringido el derecho a la presunción de inocencia (art. 24.2 CE) al haberse sustentado su condena en la prueba antes indicada, cuya ilicitud debió privarla de todo valor, dada la ausencia de control judicial y no haberse respetado por la policía la necesaria “cadena de custodia” sobre las muestras biológicas. Se añade que, con independencia de lo dicho, la coincidencia de su perfil genético con el encontrado en la prenda intervenida en el lugar de los hechos no es concluyente de su participación en los mismos, existiendo en las actuaciones otros elementos probatorios que avalan una conclusión contraria. Finalmente, aduce la lesión del derecho a un proceso con todas las garantías (art. 24.2 CE) ya que, a su juicio, el recurso de casación formulado no ha servido como un mecanismo efectivo de revisión de la condena impuesta en los términos exigidos por el art. 14.5 del Pacto internacional de los derechos civiles y políticos (en adelante,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pues la injerencia mínima que pueda suponer la realización del análisis genético del recurrente, con finalidad meramente identificativa, estaba permitida legalmente a la policía judicial en el marco de sus obligaciones de investigación del delito, concurriendo en este caso las notas de proporcionalidad y razonabilidad. La libertad informativa tampoco ha sido vulnerada pues el procesamiento de datos fue efectuado por un organismo público con la única finalidad de desvelar los perfiles genéticos de autores de delitos de graves características, estando excluido este fichero del régimen de la Ley Orgánica 15/1999, de 13 de diciembre, de protección de datos de carácter personal. De otro lado, añade que entre las funciones de la policía también está la de recoger las pruebas del delito, en este caso los restos biológicos, pudiendo haber sido comprobada por el Tribunal sentenciador la regularidad de la “cadena de custodia” de las muestras a través de los interrogatorios en el juicio de los funcionarios policiales, concurriendo prueba válida en la que basar la condena del recurrente. Por último, estima que el recurso de casación resuelto por el Tribunal Supremo ha cumplido adecuadamente su función en orden a la revisión de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nuestro habitual criterio de otorgar prioridad al enjuiciamiento de aquellas quejas cuya estimación pudiera conllevar la retroacción de actuaciones (por todas, STC 182/2009, de 7 de septiembre, FJ 3), comenzaremos por la referida a la lesión del derecho a un proceso con todas las garantías (art. 24.2 CE), que, a juicio del demandante, se habría producido como consecuencia de que el recurso de casación formulado no ha supuesto un mecanismo efectivo de revisión de la condena impuesta en los términos exigidos por el art. 14.5 PIDCP, al no haberse realizado por el Tribunal Supremo un nuevo examen crítico del material probatorio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este Tribunal Constitucional ha ido conformando un cuerpo de doctrina, fundamentalmente a partir de la STC 70/2002, de 3 de abril, FJ 7, con arreglo a la cual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105/2003, de 2 de junio, FJ 2; 116/2006, de 24 de abril, FJ 5; y 60/2008, de 26 de mayo, FJ 4). Precisando las posibilidades de revisión en sede casacional y, en concreto, la posibilidad de examinar los hechos probados, hemos resaltado que nuestro sistema casacional no se limita al análisis de cuestiones jurídicas y formales, sino que actualmente, a través de la invocación del art. 24.2 CE (tanto del derecho a un proceso con todas las garantías como, fundamentalmente, del derecho a la presunción de inocencia), es posible que el Tribunal Supremo controle tanto la licitud de la prueba practicada en la que se fundamenta el fallo, como su suficiencia para desvirtuar la presunción de inocencia y la razonabilidad de las inferencias realizadas (STC 116/2006, de 24 de abril, FJ 5).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la valoración de la prueba” (STC 136/2006,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de lo Penal del Tribunal Supremo, luego de justificar ampliamente en su Sentencia la validez y eficacia de la prueba de ADN practicada (fundamentos jurídicos 2 a 4), pone de relieve que la inferencia realizada por la Audiencia Nacional sobre la participación del acusado no es irrazonable y responde a las reglas de la experiencia, “contrastando el valor incriminatorio de los análisis de ADN con las pruebas testificales de descargo presentadas por las defensas, explicitando de forma racional y lógica por qué no les concede suficiente credibilidad, a la vez que refiere el resto de las pruebas que confirman su convicción” (fundamento jurídico 7), añadiendo que la falta de explicación alternativa de cómo pudieron aparecer aquellas huellas genéticas puede ser valorada por la Sala para reforzar su convicción (mismo fundamento jurídico 7). Posteriormente, el Tribunal de casación, con ocasión de perfilar el carácter de la acción perpetrada, procede a una ponderación de las declaraciones de los funcionarios policiales que sufrieron el atentado y de los testigos que lo presenciaron, concluyendo que la conducta del recurrente se enmarcó en un ataque colectivo dentro de las acciones denominadas “kale borroka”, en el que todos los condenados intervinieron en el acuerdo previo y ostentaron dominio funcional del hecho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Supremo ha procedido a una revisión de la Sentencia condenatoria en términos constitucionalmente adecuados a las exigencias del art. 24.2 CE, interpretado a la luz del art. 14.5 PIDCP, realizando un análisis detallado de la prueba practicada, para concluir que no se había producido ningún error de valoración y que las inferencias realizadas en la instancia eran conformes a las reglas de la lógica y de la experiencia, no incurriendo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queja formulada por el recurrente es la referida a la vulneración de su derecho a la intimidad (art. 18.1 CE) como consecuencia de haber procedido la policía autonómica vasca, sin su consentimiento ni autorización judicial, a extraer el ADN de una muestra biológica obtenida de un vaso utilizado por él en un bar, la cual fue confrontada con los restos biológicos encontrados en una prenda de ropa abandonada en el lugar de los hechos por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199/2013, de 5 de diciembre, tras recordar la doctrina de este Tribunal en relación con el derecho a la intimidad, con particular atención a las resoluciones dictadas en materia de intervenciones o reconocimientos corporales (SSTC 207/1996, de 16 de diciembre; 196/2004, de 15 de noviembre; 25/2005, de 14 de febrero; y 206/2007, de 24 de septiembre), así como a determinados pronunciamientos del Tribunal Europeo de Derechos Humanos que ponen de manifiesto que el derecho a la vida privada resulta ya comprometido por la mera conservación y almacenamiento de muestras biológicas y perfiles de ADN (STEDH de 4 de diciembre de 2008, caso S. y Marper c. Reino Unido; y decisión de inadmisión de 7 de diciembre de 2006, caso Van der Velden c. Países Bajos), concluimos que el análisis de la muestra biológica del demandante de amparo supone una injerencia en el derecho a la privacidad por los riesgos potenciales que de tal análisis pudieran derivarse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afirmada la existencia de injerencia en la vida privada, el Tribunal Europeo de Derechos Humanos sitúa la cuestión en la justificación de la medida en términos compatibles con el Convenio europeo para la protección de los derechos humanos y de las libertades fundamentales (CEDH). Y así, en la primera de las resoluciones citadas, al abordar el estudio de la existencia de un fin legítimo que justificase la injerencia apreciada, el Tribunal Europeo se ocupa de remarcar oportunamente la diferencia existente entre el supuesto abordado —conservación de muestras biológicas y perfiles de ADN para la identificación de los autores de futuros hechos delictivos— de aquellos otros casos en los cuales “la extracción inicial está destinada a vincular a una persona determinada con un delito concreto que se sospecha que ha cometido” (§ 100). El reproche del Tribunal Europeo de Derechos Humanos se dirige a la conservación indefinida por las autoridades policiales de muestras biológicas y perfiles de ADN de personas no condenadas con la finalidad de identificar a los autores de futuros hechos delictivos, pero no a la identificación de los autores de hechos delictivos a través del contraste del ADN obtenido a partir de muestras biológicas del sospechoso “con vestigios anteriores conservados en la base de datos” (§ 116). La censura se realiza, por tanto, a la conservación de los datos personales, pues el Tribunal Europeo de Derechos Humanos afirma que “se ha de considerar que el mero hecho de que las autoridades públicas conserven o memoricen datos de carácter personal, cualquiera que sea la manera en la que hayan sido obtenidos, tiene unas consecuencias directas en la vida privada de la persona afectada, tanto si se utilizan o no estos datos posteriormente” (§ 119). A su vez, en la decisión de inadmisión anteriormente citada el Tribunal Europeo de Derechos Humanos consideró que la injerencia en el derecho a la vida privada, prevista legalmente, resulta razonable en atención a que se impone a los condenados por delitos de cierta gravedad y que, a la postre, podría incluso beneficiarles al favorecer su exclusión de una eventual lista de sospechosos.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nuestra parte, en las SSTC 70/2002, de 3 de abril, FJ 10; 89/2006, de 27 de marzo, FJ 3; y 207/1996, de 16 de diciembre, FJ 4, señalamos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la práctica de inspecciones, reconocimientos e incluso de intervenciones corporales leves, siempre y cuando se respeten los principios de proporcionalidad y razonabilidad) y, finalmente,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exigencia de que la medida que supone una injerencia en el derecho a la intimidad esté orientada a la consecución de un fin constitucionalmente legítimo, “ya hemos dejado constancia de que el Tribunal Europeo de Derechos Humanos ha considerado legítima la práctica de estos análisis cuando está destinada a vincular a una persona determinada con un delito concreto que se sospecha que ha cometido (STEDH de 4 de diciembre de 2008, caso S. y Marper c. el Reino Unido, § 100)” (STC 199/2013, de 5 de diciembre, FJ 8). En el caso analizado la prueba pericial de obtención del ADN no codificante, que no permite la obtención de otros datos que los meramente identificativos, se produjo con la finalidad de ser comparado con los restos hallados en una prenda utilizada en la realización del hecho delictivo, teniendo como único objeto la averiguación de la persona que había utilizado la mencionada prenda en la perpetración de aquél, de muy intensa gravedad, como son los dos delitos de asesinato terrorista en grado de tentativa y otro de daños, por lo que no cabe duda alguna de la concurrencia de un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cobertura legal de las diligencias periciales practicadas por la policía judicial, hemos de partir, como hace la STC 199/2013, de 5 de diciembre, FJ 9, de que habiendo ocurrido los hechos antes de la reforma llevada a cabo por la Ley Orgánica 15/2003, de 25 de noviembre, aquélla cobertura se encuentra en los arts. 282 y 363 de la Ley de enjuiciamiento criminal y en el art. 11.1 de la Ley Orgánica 2/1986, de 13 de marzo, de fuerzas y cuerpos de seguridad, en cuanto, de una parte, se trata de uno de los informes técnicos y periciales a los que se refiere el apartado g);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aquella exigida por el Convenio europeo de derechos humanos. Así lo hemos afirmado, con cita de la STEDH en el caso Sociedad Plon contra Francia, de 18 de mayo de 2004, en nuestra STC 34/2010, de 19 de julio,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necesidad de autorización judicial, concluimos en la repetida STC 199/2013, de 5 de diciembre, que aun cuando el análisis de ADN efectuado no fuera ordenado judicialmente, no se lesionó el derecho del demandante a la intimidad personal, por las siguientes razones, expresadas en su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la escasa, cuando no nula, incidencia material en la intimidad personal del demandante, que habría consistido en el riesgo de que el análisis de ADN fuese más allá de la mera identificación neutra, dada la naturaleza meramente identificativa del perfil genético obtenido a partir de los sectores no codificantes del ADN. En ningún momento de la demanda se explicita información alguna que haya sido revelada a través del análisis identificativo practicado que haya comprometido o pudiera comprometer la intimidad del demandante. Se pone así en evidencia que la lesión contra la que se pretende reaccionar derivaría de la conservación y utilización futura del perfiles de ADN obtenido a partir de la muestra tomada, pero no de la comparación neutral y exclusivamente identificativa del perfil de ADN del demandante con el extraído de los vestigios del delito investigado. De este modo, aun cuando cabe admitir que el peligro de futuros usos desviados del perfil de ADN del demandante podría eventualmente constituir una injerencia en la intimidad personal por el mero riesgo, huelga ahora realizar toda consideración al respecto en el seno de un proceso de amparo como éste en la medida en que no es el supuesto concretamente analizado. Tal es también el presupuesto del que parte la reciente Sentencia del Tribunal Supremo de los Estados Unidos en el caso Maryland v. King, de 3 de junio de 2013 (identificación del autor de un delito de violación a partir del análisis del ADN de quien fue detenido como sospechoso de otro delito grave posterior) al afirmar taxativamente que los marcadores utilizados para la identificación del ADN “están situados en partes no codificantes del ADN que no revelan las características genéticas del detenido. Si bien la ciencia siempre puede avanzar y esos progresos pueden llegar a tener trascendencia desde la perspectiva de la cuarta enmienda, los alelos en los marcadores CODIS no suministran actualmente otra información que la relativa a la identidad del sujeto.” En definitiva, la limitada incidencia que el análisis de ADN que se pretendía realizar y efectivamente se llevó a cabo tuvo en el derecho a la intimidad del demandante tolera en el caso concretamente analizado la omisión de la autorización judicial en un ámbito en el que, como hemos ya advertido, no constituye una exigencia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la actuación pericial, al ceñirse a las regiones de ADN no codificante, se ajustó a los estándares proporcionados por la normativa nacional e internacional reguladora del uso forense del ADN, con lo que se asegura que no se va más allá de la identificación neutral del sujeto. Tal normativa estaba constituida a la sazón por la Resolución del Consejo, de 25 de junio de 2001, relativa al intercambio de resultados de análisis de ADN (2001/C 187/01) —actualizada luego por la Resolución del Consejo de 30 de noviembre de 2009—, por la cual se insta a los Estados miembros a que limiten los resultados de análisis de ADN a las zonas cromosómicas que no contengan ningún factor de expresión de información genética, es decir, a las zonas cromosómicas que no contengan información sobre características hereditarias específicas. En el correspondiente anexo se especifican y enumeran los marcadores de ADN respecto de los que no se tiene constancia de que contengan información sobre características hereditarias específicas, recomendando a los Estados miembros que estén vigilantes a los avances científicos y preparados para borrar los resultados de análisis de ADN si dichos resultados contienen información sobre características hereditarias específicas. En el ámbito internacional, el Tratado entre el Reino de Bélgica, la República Federal de Alemania, el Reino de España, la República Francesa, el Gran Ducado de Luxemburgo, el Reino de los Países Bajos y la República de Austria relativo a la profundización de la cooperación transfronteriza, en particular en materia de lucha contra el terrorismo, la delincuencia transfronteriza y la migración ilegal, hecho en Prüm el 27 de mayo de 2005 (“BOE” núm. 307, de 25 de diciembre de 2006), obliga a los Estados parte a servirse “exclusivamente de perfiles de ADN obtenidos a partir de la parte no codificante del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aun cuando el análisis jurídico de las cuestiones suscitadas exige un estudio individualizado de las distintas fases de la actuación policial controvertida, no puede desconocerse que las circunstancias concretas del caso, consideradas en su globalidad, requerían una actuación urgente. Así, la eventual eficacia probatoria de los restos biológicos contenidos en el vaso requería su rápida recogida, su urgente remisión a los laboratorios adecuados para su conservación y su pronto análisis, evitando todo riesgo de degradación de la muestra, contribuyendo a asegurar la cadena de custodia y minorando las posibilidades de contaminación de la muestra mediante el tratamiento de la misma siguiendo los protocolos ordinarios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porque el conjunto normativo entonces vigente, a diferencia de lo que ocurre con otros derechos fundamentales respecto de los que la Constitución y la Ley de enjuiciamiento criminal sí exigen resolución judicial que autorice las injerencias en los mismos (arts. 18.2 y 3, y 20.5 CE), no prevé expresamente la intervención judicial con carácter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porque la merma del control judicial que podría haberse derivado de la falta de autorización judicial se vio desvanecida por la aportación al proceso del resultado del análisis comparativo realizado tan pronto como estuvo disponible momento a partir del cual la autoridad judicial se encontraba en disposición de realizar por sí el juicio de ponderación sobre la diligencia pericial efectuada, así como de acordar la práctica de un nuevo análisis o de completar el ya realizado, bien por propia iniciativa o bien a solicitud de la representación procesal del demandante de amparo. A diferencia de lo que acontece con pruebas irrepetibles, como las intervenciones telefónicas, el carácter pericial de la diligencia practicada y la disponibilidad de las muestras a analizar hacen que la pericia pueda no sólo ser sometida a debate en cuanto a sus conclusiones, sino que incluso pudiera ser reiterada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respeto al principio de proporcionalidad de la medida enjuiciada exige, tal como ya hemos avanzado, constatar que la medida adoptada sea susceptible de conseguir el objetivo propuesto (juicio de idoneidad); necesaria, en el sentido de que no exista otra medida más moderada para la consecución de tal propósito con igual eficacia (juicio de necesidad); y, finalmente, que sea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conduce a afirmar el respeto al principio de proporcionalidad en la realización del análisis de ADN del demandante de amparo toda vez que: i) su comparación con el obtenido a partir del resto biológico hallado resultaba un medio adecuado para revelar la identidad de este último (idoneidad); ii) no existía un medio alternativo para comprobar si el demandante había participado o no en los hechos delictivos enjuiciados (necesidad) y, finalmente, iii) el modo en el que el análisis del ADN se practicó fue el menos invasivo de la intimidad personal en cuanto sólo afectó a las regiones no codificantes del ADN, esto es, a aquellas que tan sólo proporcionan datos identificativos mediante un análisis comparativo con el ADN obtenido a partir de otra muestra, excluyéndose por ello la revelación o puesta de manifiesto de toda característica personal que afectase a la intimidad personal. Es decir, la injerencia en el derecho fundamental consistió en el riesgo de comprometer la intimidad personal del demandante de amparo, riesgo que no llegó a materializarse (STC 199/2013, de 5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estrecha relación con la queja que acabamos de examinar, se alega por el demandante la infracción del derecho de “autodeterminación informativa” previsto en el art. 18.4 CE, a causa de que la Ertzaintza habría procedido a incluir en una base de datos informatizada el resultado del análisis de las muestras genéticas, sin ningún tipo de control administrativo ni de otro orden, y sin que se conozca quiénes tienen acceso a tales datos ni quiénes son sus responsables, así como tampoco si esos datos personales van a ser utilizados para otros fines, durante cuánto tiempo se conservarán y si podrán ser utilizados en futuros procedimientos penales. A su juicio, la policía autonómica actuó al margen de la normativa vigente, por lo que estaríamos ante un ataque a la intimidad, al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repetida STC 199/2013, de 5 de diciembre, FJ 12, tras recordar la doctrina contenida en la STC 292/2000, de 30 de noviembre, en relación con el derecho a la protección de datos, hemos afirmado que no cabe duda acerca de que el perfil de ADN obtenido a partir de una muestra biológica identifica a la persona, pero que no puede decirse que en el indicado perfil genético (el obtenido con efecto identificativo neutral) se incorporen otro tipo de datos que puedan contribuir a configurar un perfil o caracterización de la persona en sus aspectos “ideológico, racial, sexual, económico o de cualquier otra índole, o que sirvan para cualquier otra utilidad que en determinadas circunstancias constituya una amenaza para el individuo” (STC 292/2000, de 30 de noviembre, FJ 6), que es el ámbito de protección dispensada por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resaltarse que la identificación del demandante de amparo no se produjo como consecuencia de la incorporación de su perfil genético identificativo a una base de datos de personas sospechosas, sino que derivó de su comparación con los perfiles de ADN correspondientes a personas desconocidas que habían sido obtenidos a partir de muestras biológicas halladas en vestigios de otros hechos delictivos. De modo que de haberse producido la incorporación de sus datos se trataría de una actuación sin incidencia en el acto del poder público frente al que se demanda en amparo. Por lo demás nada impediría al demandante reaccionar contra esta pretendida e hipotética conservación de su perfil de ADN solicitando la eliminación del perfil de la base de datos a la que afirma que se incorporaron, lo que no consta haberse efectuado, de suerte que la lesión denunciada no sólo se construye sobre hechos no acreditados cumplidamente sino que tampoco se habrían agotado los remedios disponibles para lograr su reparación, primero ante la Administración y luego, en su caso, ante la jurisdicción ordinaria, en términos semejantes a los acontecidos en caso resuelto en la STEDH de 4 de diciembre de 2008, caso S. y Marper c. 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ya hemos señalado que la obtención de los caracteres identificativos del demandante a partir del análisis de los sectores no codificantes de su ADN se produjo para una finalidad constitucionalmente legítima, como es la investigación de graves delitos relacionados con actividad de violencia callejera. Pues bien,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(STC 292/2000, de 30 de noviembre, FJ 11, con remisión a las SSTC 11/1981, de 8 de abril, FJ 7; 196/1987, de 11 de diciembre, FJ 6; y respecto del art. 18, a la STC 110/1984, de 26 de noviembre, FJ 5). Pero es que tampoco consta que el perfil haya sido utilizado para una finalidad distinta de aquella para la que se obtuvo, ni que haya sido objeto de cesión o tratamiento distinto de aquél para el que se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por las razones ya expuestas, la queja referida a la infracción del derecho a la presunción de inocencia (art. 24.2 CE) que la demanda sustenta en que los órganos judiciales hubiesen apreciado como prueba de cargo el análisis de ADN realizado sin autorización judicial, debemos descartar también que el mencionado derecho a la presunción de inocencia haya resultado infringido por falta de intervención judicial en el momento de la toma de los restos biológicos contenidos en el vaso (por las razones expuestas en relación con la innecesariedad de la autorización judicial para la realización del análisis) o por falta de preservación de la denominada cadena de custodia de la muestra biológica obtenida, esto es, el aseguramiento de que la muestra recogida fue la misma que sirvió para el análisis comparativo posteriormente efectuado con el perfil de ADN obtenido a partir de la prenda recogida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a como hemos apreciado en la STC 199/2013, de 5 de diciembre, FJ 4 c), debemos ahora consignar que la cuestión fue abordada en la Sentencia de la Audiencia Nacional que condenó al recurrente, alcanzando la conclusión de que no existía duda acerca de la identidad de la muestra analizada, en consideración al contenido de las declaraciones efectuadas en el juicio oral por los policías que la recogieron, quienes dieron explicaciones sobre los protocolos y métodos de obtención, de las clases de análisis que se efectuaron, de su conservación, y de cómo adoptaron las medidas oportunas para evitar la contaminación de los objetos que contenían las muestras biológicas, ratificándose en las actuaciones que constaban en autos y sometiéndose tanto a las preguntas de la acusación como de la defensa. Se trata, por tanto, de una cuestión de hecho que no puede ser objeto de pronunciamiento por parte de este Tribunal [art. 44.1 b) de la Ley Orgánica del Tribunal Constitucional] más que respecto a la regularidad y suficiencia de los medios de prueba que condujeron a dar por acreditado el hecho. En todo caso, el dato al que se refiere la prueba no es estrictamente el hecho delictivo, sino un aspecto parcial de uno de los medios de prueba, siendo doctrina asentada del Tribunal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también en relación con el derecho a la presunción de inocencia (art. 24.2 CE), aduce el demandante que, con independencia de su queja sobre la ilicitud de la prueba de ADN, no existe prueba de cargo suficiente para la condena, pues, a su juicio, concurren otros elementos probatorios, como las declaraciones prestadas en el juicio oral por algunos testigos, que conducirían a una conclusión contraria a la alcanzada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que, como recuerda la STC 70/2010, de 18 de octubre,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De este modo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las dos vertientes en que se desdobla en la demanda el motivo de amparo basado en la vulneración del derecho a la presunción de inocencia (art. 24.2 CE), ya hemos rechazado, con lo afirmado en los fundamentos jurídicos precedentes, la primera de ellas, referida a la utilización de prueba ilícita. Tal como hemos expuesto, el análisis de muestras biológicas del demandante ha sido practicado respetando las exigencias constitucionales y sin lesión de los derechos a la intimidad (art. 18.1 CE) y a la autodeterminación informativa (art. 18.4 CE), por lo que su utilización como prueba no constituye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segunda vertiente de la queja, referida a irrazonabilidad de la inferencia a partir de la cual los órganos judiciales concluyen la culpabilidad del recurrente, es preciso traer a colación, brevemente, la doctrina de este Tribunal según la cual, a falta de prueba directa de cargo, también la prueba indiciaria puede sustentar un pronunciamiento condenatorio sin menoscabo del derecho a la presunción de inocencia, siempre que: los hechos bases o indicios estén plenamente probados; los hechos constitutivos del delito se deduzcan precisamente de estos hechos bases completamente probados;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de la experiencia común (SSTC 300/2005, de 21 de noviembre, FJ 3; 111/2008, de 22 de septiembre,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cabe considerar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podemos anticipar ya la desestimación del presente motivo de amparo, que ofrece semejanza con el resuelto en la STC 135/2003, de 30 de junio, en la que apreciamos que la existencia de un indicio plenamente acreditado (la presencia de huellas dactilares en el lugar de la acción delictiva) unido a la futilidad del relato alternativo ofrecido por el recurrente, permitía inferir, conforme a las reglas de la lógica, su participación en los hechos, descartando que la conclusión del Tribunal sentenciador fuera excesivamente abierta o indeterminada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también en el presente caso, en el que para estimar acreditada la participación en los hechos del demandante, los órganos judiciales tomaron en consideración la aparición de su huella genética en el lugar de los hechos, debiéndose considerar que la prueba de ADN es prueba directa, y no mero indicio, de que se produjo contacto directo del recurrente con la prenda hallada en la escena delictiva, a partir de lo cual y ante la mera negativa del demandante acerca de su presencia en el lugar cuando ocurrió la acción delictiva, la inferencia de los órganos judiciales de la participación del recurrente en el atentado terrorista se presenta como una conclusión plenamente ajustada a las reglas de la lógica y de la experiencia. Precisamente, en relación con este último elemento hemos afirmado en ocasiones precedentes que si bien la inexistencia o la inconsistencia del relato alternativo no puede sustituir la ausencia de prueba de cargo, so pena de asumir el riesgo de invertir la carga de la prueba, sí puede servir como contraindicio o como elemento de corroboración de los indicios a partir de los cuales se infiere la culpabilidad (por todas, SSTC 142/2009, de 15 de junio, FJ 6; y 128/2011,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Jon Sebasten Gurtubai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10617-2006 avocado al Pleno,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STC 199/2013, de 5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como ya señalé en la deliberación, debo añadir algunas consideraciones más sobre ciertos aspectos particulares que presenta el asunto objeto de la presente Sentencia aprobada por la mayoría, que a mi juicio impiden la traslación aplicativa a este caso de la doctrina establecida en la referida STC 199/2013.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y en cuanto a la queja referida a la violación del derecho a la intimidad del recurrente (art. 18.1 CE) por la toma de la muestra y la obtención del ADN, la Sentencia acoge aparentemente la exigencia del Tribunal Europeo de Derechos Humanos de que la extracción ha de estar destinada a vincular a una persona determinada con un delito concreto, para concluir que ese presupuesto concurre en el caso presente, afirmando que la prueba pericial de obtención del ADN “se produjo con la finalidad de ser comparado con los restos hallados en una prenda utilizada en la realización del hecho delictivo”. Sin embargo, se silencian unos datos esenciales que constan en la propia Sentencia de la Audiencia Nacional, y que, a mi modo de ver, tienen especial relevancia, porque contradicen lo establecido en esa doctrina del Tribunal Europeo de Derechos Humanos: por una parte, la toma de las muestras para la obtención del ADN no se realiza tras la detención del actor como sospechoso de los actos por los que fue condenado, sino tras un seguimiento realizado por la Ertzaintza durante dos semanas con objeto, precisamente, de poder tomar la muestra. Por otra, esa toma de la muestra tiene lugar con dos años de diferencia respecto de los hechos delictivos y al margen de las diligencias previas relativas a los mismos (que se encontraban sobreseídas provisionalmente), y no para averiguar la autoría de ese delito en concreto, sino, en general, cualquiera que hubiese cometido o pudiese cometer el actor. Se trata de una prueba pericial realizada subrepticiamente y que resulta puramente prospectiva, tal y como se deduce con claridad del texto de la misma Sentencia de la Audiencia Nacional que condenó al recurrente, en la que se señala que nada le vinculaba (ni a él, ni a los demás imputados) con los hechos delictivos por los que fue condenado, hasta la realización de la prueba de ADN. Hemos de recordar aquí que, según la propia doctrina del Tribunal Europeo de Derechos Humanos que se acoge en la Sentencia de la que discrepo, el derecho a la vida privada resulta ya comprometido por la mera conservación y almacenamiento de muestras biológicas y perfiles de ADN, determinándose de manera precisa, como ya he señalado, que la extracción ha de estar dirigida a vincular a una persona determinada con un delito concreto que se sospecha que ha cometido, sin que sea admisible que se utilice de modo indeterminado para la identificación de los autores de hechos delictivos diversos, a través del contraste del ADN obtenido de muestras biológicas de un sujeto —muestras indubitadas—, con vestigios anteriores conservados en la base de datos —muestras dubitadas—, que es lo que ha ocurrido, precisamente, en el supuesto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Todavía dentro de la queja referida a la vulneración del derecho a la intimidad, discrepo también de la Sentencia aprobada por la mayoría con respecto al análisis de por qué no era necesaria la autorización judicial para la práctica de la prueba de determinación del ADN, pues entiendo que hay dos argumentos de aquélla que quiebran por completo.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primero es el referido a que las circunstancias concretas del caso requerían una actuación urgente. Para desacreditar esa conclusión basta tomar en consideración no sólo el dato, ya referido, de que habían transcurrido dos años desde que ocurrieron los hechos, sino, además, el añadido de que el demandante no estaba detenido (a diferencia de lo que ocurrió con los otros condenados en el mismo supuesto), sino que la Ertzaintza lo estuvo siguiendo durante dos semanas con objeto de tomar la muestra. Por consiguiente, no se aprecia problema alguno de urgencia que impida la solicitud de autorización judicial para la práctica de la prueba, que fue realizada a partir de un vaso que el sujeto utilizó en un bar y que cogió subrepticiamente, tras su marcha, el Ertzaina que lo seguía. Si no había motivos para detenerlo (porque, en caso contrario, la actuación policial habría sido igual a la de los otros condenados), y si no concurría una evidente razón de urgencia, semejante intromisión en su intimidad sin un motivo preciso y fundado que la justificara exigía la imprescindible autorización judicial. Todo ello evidencia que no había obstáculo alguno, por razón de premura o urgencia, para que la toma de la muestra contara con la garantía de la autorización judicial, que fue omitida indebidamente.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segundo argumento respecto del que discrepo pretende justificar la ausencia de autorización judicial por el hecho de que la aportación al proceso del resultado del análisis pudo permitir al Juez ponderar ésta y ordenar una nueva prueba o que se completara el análisis. Este argumento, que en modo alguno responde a la función que incumbe a este Tribunal, hace supuesto de la cuestión, porque el hecho de que el Juez diera la prueba por buena en el proceso no quiere decir que lo sea, ni que se haya realizado con las debidas garantías, que es lo que debe examinar este Tribunal, en lugar de limitarse a rechazar la queja porque la actuación policial se haya dado por buena en la jurisdicción ordinaria. El análisis constitucional que nos es propio va mucho más allá, y exige una inmersión en la esencia y el contenido del derecho fundamental que se invoca para determinar, desde el estricto plano de la constitucionalidad, si la actuación que se impugna ha sido o no respetuosa con aquel derecho. Por lo que son insuficientes los argumentos de legalidad ordinaria que aparentemente cumplen con esa función pero que, en realidad, están lejos de garantizar que la práctica de la prueba fuera constitucionalmente admisible.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último aspecto que precisa de una consideración separada en este Voto, al margen de mi remisión al formulado a la STC 199/2013, es el atinente a la queja sobre la vulneración del derecho a la presunción de inocencia por falta de intervención judicial y por falta de preservación de la cadena de custodia, respecto de la cual la Sentencia se limita a dar por buena la argumentación de la Sentencia de la Audiencia Nacional impugnada en el recurso de amparo acerca de que no existía duda sobre la identidad de la muestra, muestra indubitada, en consideración a la declaración en el juicio oral de los policías que las recogieron (que en este caso fue sólo uno). Sin embargo, silencia la Sentencia absolutamente un dato recogido expresamente en la de la Audiencia Nacional y que, a mi juicio, tiene especial relevancia a efectos de juzgar acerca de la validez constitucional de dicha prueba para desvirtuar la presunción de inocencia del actor. En efecto, según se reconoce en la Sentencia de la Audiencia Nacional (página 23) se produjo una irregularidad en la actuación policial (“es cierto que hubo una mala praxis policial”), pues la recogida de la muestra se documentó varios meses después, cuando ya se habían recibido los análisis del laboratorio, extremo que, en mi opinión, y ausente toda intervención judicial previa, priva a esa prueba de toda garantía en orden a su utilización para desvirtuar la presunción de inocencia del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la vista de lo hasta aquí expuesto, que se une al conjunto de las consideraciones desarrolladas en el Voto que formulé a la STC 199/2013, no puedo sino concluir, con más razón aún, reiterando lo que manifesté en el punto 7 de aquel Voto, en cuanto a que se debería haber concluido también en este caso resolviendo que se lesionaron los derechos fundamentales del recurrente consagrados en los arts. 18.1 y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fecha 30 de enero de 2014 dictada en el recurso de amparo avocado núm. 10617-2006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los hechos enjuiciados en la Sentencia recurrida en amparo merecen el más drástico reproche y generaron sin duda notable alarma social, con las obligadas consecuencias en el plano de la legalidad penal, lamento constatar que desde el plano constitucional se aprecian circunstancias similares a las que me llevaron a formular Voto particular en relación a la reciente Sentencia 199/2013, de 5 diciembre, lo que me obliga a aplicar en el presente caso argumentación idéntica a la entonces expuesta, a la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