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5865-2013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5865-2013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Sección Séptima de la Audiencia Provincial de Madrid desestimatoria del recurso de apelación interpuesto contra la Sentencia del Juzgado de lo Penal núm. 25 de Madrid, por la que se condena al demandante de amparo como autor de un delito de uso de información privilegiada, exclusivamente en lo relativo a la pena privativa de libertad de prisión de un año y accesoria de inhabilitación especial para el ejercicio del derecho de sufragio pasivo durante ese mismo tiempo.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dicha resolución en lo relativo al pago de la multa, el comiso de la ganancia obtenida y al pago de las costas, así como de la eventual responsabilidad personal subsidiaria en caso de impago de la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11 de octubre de 2013, doña Soledad Fernández Urías, Procuradora de los Tribunales, en nombre y representación de don Francisco Javier Merino De la Cuesta, asistido por el Letrado don Esteban Mestre Delgado, interpuso recurso de amparo contra la Sentencia núm. 486/2013, de 27 de mayo, de la Sección Séptima de la Audiencia Provincial de Madrid desestimatoria del recurso de apelación formulado por el demandante de amparo contra la Sentencia dictada por el Juzgado de lo Penal núm. 25 de Madrid de fecha 21 de febrero de 2012, por la que se condenó a éste como autor responsable de un delito de uso de información privilegiada, del art. 285.1 del Código penal (CP), sin la concurrencia de circunstancias modificativas de la responsabilidad criminal, imponiéndole la pena de un año de prisión, con la pena accesoria de inhabilitación especial para el ejercicio del derecho de sufragio pasivo durante el tiempo de la condena, y de multa de 1.564.603,25 euros, con arresto sustitutorio en caso de impago, con expresa imposición de las costas procesales, ordenando además el comiso de la cantidad de 1.564.603,25 euros, como ganancia obtenida.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que las resoluciones judiciales impugnadas han vulnerado el derecho fundamental del demandante a la presunción de inocencia (art. 24.2 CE), a la tutela judicial efectiva en conexión con el principio de legalidad al realizar las mismas una interpretación arbitraria e irrazonable, así como extensiva contra el reo del art. 285.1 CP (arts. 24.1 y 25 CE). Por otrosí, en la misma demanda, el recurrente solicita que se deje en suspenso el Auto recurrido y, en consecuencia, la ejecución de todas las penas impuestas.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Sala Segunda de este Tribunal de 13 de febrero de 2014 se acordó admitir a trámite el recurso de amparo y mediante nueva providencia de la misma fecha acordó formar la oportuna pieza para la tramitación del incidente de suspensión y, conforme al art. 56 de la Ley Orgánica del Tribunal Constitucional, conceder un plazo común de tres días a la parte recurrente y al Ministerio Fiscal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mediante escrito presentado el 20 de febrero de 2014, reitera su petición de que este Tribunal proceda a suspender la ejecución de las penas impuestas, en tanto que, si finalmente se otorgara el amparo y no se hubiera acordado tal suspensión, la pérdida de libertad sería irreparable, así como de la pena de multa y el comiso que por su gran cuantía y la necesidad de enajenar bienes del demandante para su pago, provocaría daños de gran consideración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26 de febrero de 2014, el Ministerio Fiscal estima procedente que se acuerde la suspensión de la ejecución de la Sentencia condenatoria impugnada, en lo que afecta al cumplimiento de la pena privativa de libertad, atendida la duración de la pena de prisión impuesta y que su suspensión no ocasiona una lesión específica y grave del interés general, más allá de aquélla que, de por sí, produce la no ejecución de un fallo judicial. Extiende la petición de suspensión a la pena accesoria de inhabilitación especial para el ejercicio del derecho de sufragio pasivo, pero se opone a la suspensión de la pena de multa, por no haber acreditado el recurrente la imposibilidad de abonarla. Añade que tampoco cabe la suspensión de la responsabilidad personal subsidiaria en caso de impago de la multa al tratarse de una eventualidad incierta, que en su momento, de cumplirse, podría dar lugar a la modificación de la presente medida cautelar.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establece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todos, AATC 2/2001, de 15 de enero; 45/2001, de 26 de febrero; 64/2001, de 26 de marzo; 78/2001, de 2 de abril, y 83/2001, de 23 de abril). Por perjuicio irreparable hemos entendido aquel que provoque que el restablecimiento del recurrente en el derecho constitucional vulnerado sea tardío e impida su efectiva restauración (entre otros muchos, AATC 251/2000, de 30 de octubre; 63/2001, de 26 de marzo; 170/2001, de 22 de junio, y 338/2005, de 26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orden a las condenas a penas privativas de libertad de hasta cinco años, la regla general ha sido su suspensión conforme al criterio genérico de la pérdida de eficacia del amparo —atendida su duración y la previsible de resolución del proceso de amparo— y a la entidad de la pena en cuanto expresiva del grado de reprobación del hecho por el ordenamiento (AATC 277/1985, de 24 de abril; 264/1998, de 26 de noviembre; 265/1998, de 26 de noviembre; 22/2002, de 25 de febrero; 39/2004, de 9 de febrero, y 150/2013, de 8 de julio),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pena privativa de libertad, podría ocasionarse al recurrente un perjuicio irreparable toda vez que, como ya hemos declarado en anteriores ocasiones (por todas, AATC 269/1998, de 26 de noviembre, y 84/2002, de 20 de mayo), estando comprendida la duración de la condena a pena de prisión —un año— dentro de la posible duración de la tramitación del presente recurso, dicha pena privativa de libertad podría estar próxima a cumplirse —o se habría cumplido ya en su totalidad— en dicho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conforme a nuestra jurisprudencia, las penas accesorias han de seguir la misma suerte que la principal (AATC 131/2001, de 22 de mayo, FJ 2; y 408/2005, de 21 de noviembre,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la pena de multa y el comiso, así como las costas procesales son reconducibles a términos económicos, aun suponiendo una elevada cuantía, pues el actor alega tener bienes patrimoniales que exceden con mucho de la cantidad objeto de condena, pero cuyo valor se vería muy reducido por una venta rápida para hacer efectiva la multa y el comiso. A las citadas penas les resulta aplicable la doctrina de la no suspensión por su reparabilidad; tanto más cuanto el demandante ni siquiera ha intentado justificar el carácter irreversible de los daños que podría ocasionarle su abono, realizando unas alegaciones genéricas de perjuicios por la elevada cuantía de la multa y el comiso sin acreditar dichas afirmaciones con soporte documental alguno. Por otra parte, el hecho de la muy elevada cuantía de dichos conceptos no supone por sí mismo la acreditación del perjuicio irreparable, pues el mismo ha de derivarse de la conexión de su cuantía con el patrimonio del condenado, que el propio solicitante manifiesta ser mucho más amplio que las cantidades objeto de condena. Se ha hecho especial incidencia por la doctrina de este Tribunal (ATC 139/2013, de 3 junio), por un lado, en que la acreditación del perjuicio es carga del recurrente, quien debe precisar los concretos perjuicios que de la ejecución se deriven, así como justificar o argumentar razonadamente la irreparabilidad de los mismos; y, por otro, que el perjuicio irreparable debe ser real, sin que sea posible alegar un perjuicio futuro o hipotético o un simple temor y que la pérdida de la finalidad del amparo no puede equipararse a la mayor o menor dificultad, molestia o incomodidad para el recurrente (por todos, ATC 81/2012, de 7 de mayo, FJ 3).Igualmente, en cuanto a la responsabilidad personal subsidiaria para el caso de impago de la pena de multa, se trata en este momento de una eventualidad incierta y futura que, en caso de sobrevenir, podría dar lugar a la modificación de la decisión que ahora se adopte, en virtud de lo dispuesto en el art. 57 LOTC (por todos, ATC 369/2004, de 4 de octubre), por lo que no procede en este momento su suspensión (AATC 149/2006, de 8 de mayo, FJ 2 in fine; 366/2006, de 23 de octubre, FJ 1, y 59/2008, de 20 de febrero,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la Sección Séptima de la Audiencia Provincial de Madrid desestimatoria del recurso de apelación interpuesto contra la Sentencia del Juzgado de lo Penal núm. 25 de Madrid, por la que se condena al demandante de amparo como autor de un delito de uso de información privilegiada, exclusivamente en lo relativo a la pena privativa de libertad de prisión de un año y accesoria de inhabilitación especial para el ejercicio del derecho de sufragio pasivo durante ese mismo tiempo.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suspensión de dicha resolución en lo relativo al pago de la multa, el comiso de la ganancia obtenida y al pago de las costas, así como de la eventual responsabilidad personal subsidiaria en caso de impago de la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