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en el recurso de amparo núm. 293-2014 promovido por doña Raquel Lora Peón.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16 de enero de 2014, doña Raquel Lora Peón, representada por la Procuradora de los Tribunales doña Susana Gómez Castaño y asistida por el Letrado don Javier Garicano Añíbarro, interpuso recurso de amparo contra la Sentencia de fecha 14 de octubre de 2013, dictada en el recurso de apelación número 594-2013 por la Sección Cuarta de la Audiencia Provincial de Valladolid y Auto de 28 de noviembre de 2013. La demanda de amparo solicita que se dicte Sentencia declarando que se ha vulnerado el derecho de la recurrente a un proceso con todas las garantías, a la presunción de inocencia, a ser informada de la acusación y defensa, al Juez imparcial, al uso de medios de prueba pertinentes para su defensa y a la tutela judicial efectiva, y que se anulen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en el escrito de demanda, y de conformidad a lo dispuesto en el art. 56 de la Ley Orgánica del Tribunal Constitucional (LOTC), la recurrente solicitó la suspensión de la resolución impugnada. Alegaba, en síntesis, que la no suspensión de las resoluciones recurridas, le provocaría un perjuicio que haría perder al amparo su finalidad y que le impediría ejercer y permanecer en las listas como Juez o Fiscal sustituta, por ser un requisito necesario el de carecer de antecedentes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la admisión a trámite de la demanda de amparo y formar la correspondiente pieza separada de suspensión y, de conformidad con lo previsto en el art. 56 LOTC, conceder un plazo común de tres días al Ministerio Fiscal y a la parte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presentado el 18 de junio de 2014, el Ministerio Fiscal interesa la denegación de la suspensión de la resolución recurrida en la demanda de amparo y en síntesis, mantiene los siguientes criterios: i) en cuanto a la pena de privación del derecho a conducir vehículos de motor y ciclomotores, la recurrente invoca genéricamente un perjuicio sin aportar las circunstancias concretas que justificarían su condición de irreparable y que la invocación de su condición profesional no está en conexión con la pena que se pretende suspender; y ii) en cuanto a la suspensión de la ejecución de las penas pecuniarias, no se cumple un mínimo esfuerzo de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presentó escrito el 20 de junio de 2014, en el que se ratifica en la petición de suspensión solicitada en su día, alegando que no se trata de un delito grave, que no existen víctimas a las que proteger ni riesgo de eludir la acción de la justicia, y que la ejecución le supondría un grave quebranto por no poder seguir desempeñando su puesto de trabajo en la Fiscalía al tener antecedentes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demandante de amparo fue condenada en grado de apelación por la Sección Cuarta de la Audiencia Provincial de Valladolid, en Sentencia de 14 de octubre de 2013, como autora responsable de un delito contra la seguridad vial (art. 379.2, inciso primero, del Código penal), a la pena de seis meses de multa, y un año y un día de privación del permiso de conducir vehículos a motor y ciclomotores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solicitud de suspensión se plantean dos cuestiones: i) la procedencia de la suspensión de la ejecución de las penas impuestas; y ii) la procedencia de la suspensión de la inscripción de la Sentencia en el Registro Central de Penados y Rebeldes para evitar la pérdida de su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 la suspensión de la ejecución de las penas impuestas, y respecto de la pena de privación del derecho a conducir, este Tribunal ha acordado la suspensión cuando el demandante alega y acredita un perjuicio específico dada su condición profesional de conductor (ATC 242/2000, de 16 de octubre), o de repartidor (ATC 361/2003, de 10 de noviembre), o dadas sus condiciones laborales —la ausencia de transporte público para acceder al lugar de trabajo— (ATC 53/1999, de 8 de marzo), y, por el contrario, la ha negado ante la falta de acreditación de tales específicos perjuicios irreparables (AATC 30/1999, de 8 de febrero, 182/2001, de 2 de julio, y 258/2004, de 12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estamos examinando, la demandante de amparo no acredita que la denegación de la suspensión de la pena de privación del derecho a conducir vehículos a motor y ciclomotores le ocasione un especial perjuicio derivado de sus circunstancias personales o profesionales conectadas al derecho objeto de privación, sino que se refiere de forma genérica a los perjuicios que derivarían del cumplimiento total de la pena antes de que este Tribunal resuelva el recurso de amparo y, especialmente, al efecto impeditivo que tendría la condena en relación al desempeño del puesto de Fiscal sustituta que ha venido ocupando, extremo éste conectado con la pretensión cautelar sobre la anotación del antecedente penal que será analizado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en cuanto a las penas pecuniarias, hemos señalado que, por más que puedan producir efectos desfavorables a quien solicita amparo, no pueden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82/2000, de 13 de marzo, FJ 2; 165/2003, de 19 de mayo, FJ 2; 357/2006, de 9 de octubre, FJ 2; 118/2008, de 28 de abril, FJ 2; y 3/2011, de 14 de febrero,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en el caso de que la parte recurrente en amparo justificase cumplidamente que el no otorgamiento de la suspensión le ocasionaría un perjuicio irreparable que haría perder al amparo su finalidad procedería acordar la suspensión de la ejecución de la resolución impugnada en amparo y en este supuesto no se produce, puesto que no existe una mínima justificación de que se pueden producirse perjuicios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 inscripción de la Sentencia en el Registro Central de Penados y Rebeldes, este Tribunal ha reiterado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 la parte solicitante de amparo un perjuicio irreparable, debiendo entenderse por tal aquel que provoque que el restablecimiento del recurrente en los derechos fundamentales cuya vulneración denuncia sea tardío e impida definitivamente que la restauración sea efectiva (AATC 124/2012, de 18 de junio, FJ 1; y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las solicitudes de suspensión de anotación de antecedentes en el Registro Central de Penados y Rebeldes, en el ATC 36/2003, de 30 de enero, FJ 6, se declaraba que la anotación de los antecedentes penales es una consecuencia jurídica inherente a la Sentencia condenatoria en cuanto tal, con independencia del cumplimiento o no, en virtud de la medida cautelar de suspensión, de las penas impuestas en aquella; por lo que acceder a dicha suspensión sería tanto como anticipar, por vía de la medida cautelar, una eventual nulidad de la Sentencia que comportase la eliminación de dicho efecto jurídico, máxime cuando toda medida cautelar no prejuzga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a denegar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en el recurso de amparo núm. 293-2014 promovido por doña Raquel Lora Peón.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