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8 de octubre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2698-2010, promovido por don Rogelio Botana Blanco y don José Francisco Botana Blanco, representados por el Procurador de los Tribunales don Marco Aurelio Labajo González y asistidos por el Letrado don José Manuel Ferreiro Novo, contra la Sentencia de la Sección Primera de la Audiencia Provincial de A Coruña de 30 de septiembre de 2008 (rollo núm. 6-2007) y contra la Sentencia de la Sala de lo Penal del Tribunal Supremo de 30 de diciembre de 2009 que resolvió el recurso de casación (núm. 11595-2008) formulado contra aquélla. Ha intervenido el Ministerio Fiscal y han comparecido don Baldomero Rey Carril y doña María Pose Novo, representados por el Procurador de los Tribunales don Miguel Torres Álvarez y asistidos por el Letrado don Pablo Abellón López. Ha actuado como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29 de marzo de 2010, don Marco Aurelio Labajo González, Procurador de los Tribunales, en nombre y representación de don Rogelio Botana Blanco y don José Francisco Botana Blanco, interpuso recurso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 para su resolución,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30 de septiembre de 2008 la Sección Primera de la Audiencia Provincial de A Coruña dictó Sentencia por la que se condenó a los demandantes de amparo a las siguientes penas: i) Por un delito de asesinato concurriendo la agravante de disfraz, a la pena de prisión de dieciocho años, con inhabilitación absoluta por igual tiempo. ii) Por un delito intentado de robo con violencia y uso de armas, con la concurrencia de la agravante de disfraz, a la pena de un año y seis meses de prisión, con accesoria de inhabilitación para el ejercicio del derecho de sufragio pasivo. iii) Por otro delito de robo con intimidación intentado con uso de armas, concurriendo agravante de disfraz, a la pena de tres años y seis meses de prisión, e idéntica inhabilitación especial que el delito anterior. iv) Por un delito de robo de uso de vehículo a motor, con la agravante de reincidencia para Rogelio Botana Blanco, a la pena de once meses de multa con cuota diaria de seis euros más inhabilitación especial. v) Por un delito de tenencia ilícita de armas, a la pena de dos años y seis meses de prisión, con idéntica inhabilitación. vi) Y por un delito de daños mediante incendio, sin circunstancias modificativas, a la pena de un año y seis meses de prisión, con accesoria de inhabilitación para el derecho de sufragio pasivo. Todo ello con las costas y responsabilidad civil determinadas en la propia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demandantes de amparo interpusieron recurso de casación, que fue admitido a trámite y, tras la celebración de la correspondiente vista, la Sala de lo Penal del Tribunal Supremo dictó la Sentencia 1239/2009, de 30 de diciembre, que estimó parcialmente el mencionado recurso de casación, rebajando la condena de los demandantes por el delito de tenencia ilícita de armas, de dos años y seis meses de prisión a un año, pero manteniendo los restantes pronunciamientos condenatorios.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aquí importa, sostuvieron los recurrentes que siendo la única prueba de cargo en que se basó su condena las declaraciones que prestaron en dependencias policiales, no ratificadas a presencia judicial, procedía su libre absolución. A ello responde la Sala de lo Penal del Tribunal Supremo que sí cabe valorar como prueba tales declaraciones, por varios motivos: “1º) Primeramente, porque carecería de sentido que una diligencia de declaración en sede policial con todas las garantías, a presencia de letrado, con lectura de derechos y ofreciendo al detenido la posibilidad de no hacerlo y declarar exclusivamente ante la autoridad judicial, no tenga valor alguno, y lo tenga en cambio, como ya hemos dicho, la declaración espontánea extrajudicial. De ser así, es obvio que la ley debería prescindir de la misma, si no ha de tener absolutamente ningún efecto. 2º) Tampoco puede mantenerse que los funcionarios policiales están obligados a mantenerla ante el juez por las consecuencias derivadas de la falsedad en que incurrirían en caso contrario. De ser ello así, lo mismo sucedería en toda clase de ratificaciones o adveraciones de documentos, privados, públicos o notariales, pues podría mantenerse que tal ratificación es superflua en tanto que condicionan necesariamente el contenido del documento en sí mismo considerado. Otro tanto ocurriría con la ratificación de denuncias o prestación de testificales en el juicio oral, cuando el deponente ya haya sido objeto de actividad sumarial previa. 3º) Como ya hemos apuntado, la declaración de los funcionarios policiales ante los que se produjo la declaración, no es propiamente un testimonio de referencia (pues, se objeta, estando el testigo directo, sobra el de referencia), pero es que tales funcionarios no dan cuenta de hechos ajenos, sino propios, y lo único que atestiguan es que el detenido dijo lo que expresa el acta, cuando tal persona lo niega ante el Tribunal, exponiendo las condiciones de regularidad procesal de la diligencia, de la que también podría dar cuenta si se le llamase, el propio abogado presente en la misma. 4º) Porque es muy habitual, y también lo es en este proceso, que no existan elementos objetivos de presiones o malos tratos policiales, lo que se puede acreditar (como aquí consta) por los informes médico forenses que asistieron a los detenidos, desvirtuando las razones aducidas por éstos ordinariamente para negar las afirmaciones que hicieron. 5º) Finalmente, porque los hechos que se afirman y que entran en el acervo del proceso como material inculpatorio, serán corroborados por medio de otras pruebas que les presten credibilidad, como ocurre con declaraciones de funcionarios policiales encargados de la investigación policial, vestigios, datos o elementos de todo orden que produzcan la convicción judicial. Como argumento adicional, ha de ponerse de manifiesto que, si bien el art. 297 de la Ley de Enjuiciamiento Criminal, afirma el valor de simple denuncia a los atestados que se practicaren y entregaren a la autoridad judicial, no es menos cierto que el párrafo segundo de dicho precepto dispone que ‘las demás declaraciones que prestaren (por los funcionarios policiales) deberán ser firmadas, (y) tendrán el valor de declaraciones testificales en cuanto se refieran a hechos de conocimiento propio’.” (Fundamento de Derecho tercero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la Sala de lo Penal del Tribunal Supremo, una declaración autoincriminatoria en el curso de las diligencias policiales esa sede, no ratificada posteriormente, puede ser estimada como prueba de cargo siempre que se acrediten las siguientes circunstancias: primero, que conste que aquella fue prestada previa información de sus derechos constitucionales; segundo, que sea prestada a presencia de Letrado; y tercero, que sea complementada en el mismo juicio oral mediante la declaración contradictoria del agente de policía interviniente en la misma (fundamento de Derecho segundo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aduce la vulneración del derecho a la tutela judicial efectiva sin indefensión (art. 24.1 CE) —en su vertiente de derecho a obtener una resolución motivada y fundada en Derecho— así como de los derechos a la defensa y a la presunción de inocencia (art. 24.2 CE), en relación con los principios de interdicción de la arbitrariedad de los poderes públicos (art. 9.3 CE) y de necesidad de motivación de las resoluciones judiciales (art. 120.3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los demandantes de amparo que no fue practicada en el plenario prueba de cargo suficiente para inferir su intervención en los hechos objeto de enjuiciamiento y, por tanto, para sustentar un pronunciamiento condenatorio, toda vez que la única prueba de cargo con la que ha contado la Sala ha sido su declaración policial, que no ha sido ratificada judicialmente, ni ha sido prestada de modo voluntario, ni ha sido debidamente incorporada al plenario de conformidad con las reglas procesales al respecto; a mayor abundamiento, se añade, en el caso de don Rogelio Botana, ni él mismo ni su Abogado firmaron dicha declaración. Por consiguiente, siendo la única prueba de cargo tales declaraciones prestadas en dependencias policiales, no ratificadas a presencia judicial, procedía su libre absolución.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justificación de la especial trascendencia del recurso, se afirma en la demanda que la Sentencia del Tribunal Supremo impugnada es exponente de una corriente jurisprudencial que dimana del acuerdo no jurisdiccional del Pleno de la Sala Segunda del Tribunal Supremo de 28 de noviembre de 2006 según el cual: “Las declaraciones válidamente prestadas ante la policía pueden ser objeto de valoración por el Tribunal, previa su incorporación al juicio oral en alguna de las formas admitidas por la jurisprudencia”. Este acuerdo habría dado lugar a que se esté posibilitando una condena penal en base a la declaración prestada por un imputado en sede policial no ratificada posteriormente a presencia judicial, y ello mediante su introducción en el plenario a través de la declaración testifical de los agentes que la han recibido y escuchado.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23 de noviembre de 2010, admitió a trámite la demanda de amparo y, de conformidad con lo dispuesto en el art. 51 de la Ley Orgánica del Tribunal Constitucional (LOTC), acordó dirigir sendas comunicaciones a la Sala de lo Penal del Tribunal Supremo y a la Sección Primera de la Audiencia Provincial de A Coruña, a fin de que, en plazo que no excediera de diez días, remitiesen, respectivamente, certificación o fotocopia adverada de las actuaciones correspondientes al recurso de casación núm. 11595-2008 y al rollo núm. 6-2007, debiendo la Audiencia Provincial emplazar previamente a quienes hubieran sido parte en el procedimiento, a excepción de los demandantes de amparo, para que pudieran comparecer en el plazo de diez días en este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otra providencia de la misma fecha se acordó formar la correspondiente pieza separada de medidas cautelares y, de conformidad con lo previsto en el art. 56.4 LOTC, conceder un plazo común de tres días al Ministerio Fiscal y a los demandantes de amparo, para que alegaran lo que estimasen pertinente en relación con la petición de suspensión formulada en la demanda de amparo. Los recurrentes evacuaron el trámite de alegaciones mediante escrito registrado en este Tribunal el 1 de diciembre de 2010, en el que reiteraron su solicitud de suspensión de las penas impuestas, apelando a las irreparables consecuencias que se derivarían de su mantenimiento en prisión en caso de ser estimado el recurso de amparo y poniendo de manifiesto sus circunstancias personales y familiares. El Ministerio Fiscal cumplimentó el trámite de alegaciones conferido mediante escrito presentado el 9 de diciembre de 2010, en el que se opuso a la suspensión. Finalmente la Sala Segunda, mediante el ATC 202/2010, de 21 de diciembre,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Habiendo pedido su personación en la actuaciones don Baldomero Rey Carril y doña María Pose Novo, representados por el Procurador de los Tribunales don Miguel Torres Álvarez y asistidos por el Letrado don Pablo Abellón López, así como don Iván Añón Botana, representado por el Procurador don Argimiro Vázquez Guillén y asistido por el Letrado don Víctor Espinosa García, por diligencia de ordenación de la Secretaría de la Sala Segunda, de 25 de enero de 2011, se supeditó su efectiva personación a que aportaran el original del poder notarial de representación, lo que cumplimentaron, los primeros, el 1 de febrero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misma diligencia de ordenación de 25 de enero de 2011, de conformidad con lo dispuesto en el art. 52.1 LOTC, se acordó dar vista de las actuaciones, por plazo común de veinte días, a las partes personadas y al Ministerio Fiscal para que presentaran las alegaciones que tuvieran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Baldomero Rey Carril y de doña María Pose Novo presentó escrito de alegaciones el 24 de febrero de 2011, en el que piden que se deniegue el amparo solicitado, manteniendo en su integridad las condenas de los recurrentes en amparo. A tal fin razonan que las declaraciones policiales de los demandantes fueron prestadas con las debidas garantías, de forma voluntaria y sin atisbo alguno de inducción. Además, se introdujeron válidamente en el procedimiento, mediante el interrogatorio practicado en el plenario sobre las mismas, tanto a los acusados como al agente instructor de las diligencias y, finalmente, mediante su íntegra lectura, tal y como consta en el acta del juicio oral. Añaden que con independencia de la correcta incorporación al plenario de esas declaraciones prestadas ante la Guardia Civil, con los requisitos de inmediación, oralidad y contradicción, la realidad es que la condena de los dos demandantes no deriva de forma exclusiva de sus declaraciones sino del conjunto de la prueba practicada de forma independiente y que, lejos de convertir sus declaraciones policiales en prueba de cargo, lo que hacen es corroborar su contenido de forma tal que, apreciadas con el resto de la prueba practicada, son más que suficientes para desvirtuar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petición del Ministerio Fiscal se recabó de la Sección Primera de la Audiencia Provincial de A Coruña la remisión de un testimonio de las actuaciones dimanantes del sumario núm. 3-2006 del Juzgado de Instrucción núm. 2 de Carballo. Una vez recibido, se dio traslado del mismo a las partes, mediante diligencia de ordenación de 11 de abril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la misma diligencia de ordenación de 11 de abril de 2011 se recordó al Procurador don Argimiro Vázquez Guillén la necesidad de aportar el poder notarial acreditativo de la representación de don Iván Añón Botana.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 don Baldomero Rey Carril y de doña María Pose Novo aportó un nuevo escrito el 13 de mayo de 2011, en el que recordaba la presentación el 24 de febrero de su escrito de alegaciones, que daba por reproducido.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recurrentes en amparo presentaron el 18 de mayo de 2011 un escrito en el que señalaron que se daban por instruidos de las actuaciones recibidas, sin que tuvieran nada que añadir a lo ya expuesto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cumplimentó el trámite de alegaciones mediante escrito registrado el 26 de mayo de 2011 en el que, tras referirse ampliamente al contenido de las Sentencias impugnadas, señala que el núcleo probatorio sobre el que ambas apoyan las condenas de los demandantes de amparo gira sobre las declaraciones prestadas por ellos en sede policial, siendo unas declaraciones que no fueron ratificadas ante el Juez de Instrucción ni durante la vista oral. Añade que el segundo elemento de importancia es la declaración del agente de la Guardia Civil que redactó el atestado y que asistió a las de los condenados. Y, finalmente, hay referencias periféricas o de corroboración de tales declaraciones, como el análisis de los careos o la declaración de la persona que estaba con la víctima del asesinato en el interior del coche cuando ésta fue tiroteada mortalmente.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Fiscal que la introducción de las declaraciones de los demandantes ante la policía como elementos de valoración probatoria es plenamente de recibo, pues tales declaraciones fueron obtenidas con el respeto a las garantías de legalidad y constitucionalidad exigidas y posteriormente fueron objeto de debate pleno, con concurrencia de los principios de contradicción e inmediación en la vista oral, siendo debatidas y no meramente reproducidas en tal estadio procesal, por lo que el Tribunal de instancia y luego el de casación pudieron tenerlas en cuenta y valorarlas debidamente.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testimonio del guardia civil que elaboró el atestado y ante el que se efectuaron las declaraciones policiales de los demandantes, señala el Fiscal que dicho testimonio, obtenido en la vista oral y objeto de contradicción e inmediación, fue correctamente valorado por los Tribunales enjuiciadores. Ahora bien, este testimonio no puede ir más allá de la mera constatación de que la declaración de los recurrentes tuvo lugar, que su contenido es el que se refleja en el atestado y que se desarrolló con las circunstancias que en el mismo se hacen constar. Lo que a su juicio no cabe es que ese testimonio del guardia civil pueda ser tenido en cuenta para otorgar mayor credibilidad a las declaraciones policiales de los recurrentes frente a sus posteriores retractaciones en la fase de instrucción ante el Juez y luego en la vista oral. Ello no es posible porque no se trata de un testigo de referencia que habla de algo que le ha sido referido, o que pueda ratificar la declaración de otro; siendo equivocada, a juicio del Fiscal, la comparación o extensión analógica de la jurisprudencia relativa al testimonio del coimputado o de la referida a los denominados testigos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 juicio del Fiscal no por ello deja de concurrir en el presente caso suficiente prueba de cargo lícitamente obtenida; prueba que nace de las propias declaraciones policiales de los acusados debidamente contrastadas con sus declaraciones judiciales y con las de la vista oral en la que fueron sometidas a los principios de inmediación, contradicción y publicidad. Considera que las resoluciones judiciales recurridas han efectuado la debida motivación acerca de porqué son valorables como prueba de incriminación las declaraciones policiales autoincriminatorias de los recurrentes frente a las exculpatorias que efectuaron en la fase de instrucción y posteriormente en la vista oral. A tal fin, la Sentencia dictada por la Sección Primera de la Audiencia Provincial de A Coruña asume esa preferencia probatoria a favor de las declaraciones policiales de los acusados en atención a diversos elementos valorativos: la concurrencia de datos de verosimilitud en las mismas, coincidiendo los recurrentes entre sí y con una serie de detalles que sólo podían conocer los autores del hecho, ya que eran incluso ignorados por los investigadores policiales; la falta de explicación acerca de la razón del cambio, dando respuestas evasivas, contradiciéndose, a la vez que fracasaban las cortinas de humo con la querían ocultar la verdad; la evidencia de que lo que declararon concuerda con lo declarado por la mujer que acompañaba en el coche a la víctima cuando fue tiroteada, con las comprobaciones múltiples efectuadas por la Guardia Civil y con las pruebas periciales; la existencia de discordancias entre sus distintas versiones exculpatorias; la insuficiencia de las coartadas de los tres procesados, como expone la Sala de instancia; o la actitud que mantuvieron los acusados a lo largo de las sesiones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conforma, a juicio del Fiscal, suficiente acervo probatorio de cargo para justificar la destrucción del derecho a la presunción de inocencia (art. 24.2 CE) que inicialmente amparaba a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9 de junio de 2011, la Sala Segunda acordó no haber lugar a tener por personado al Procurador don Argimiro Vázquez Guillén en nombre y representación de don Iván Añón Botana, por no haber procedido a subsanar la falta de aportación del poder notarial de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29 de enero de 2013, el Pleno del Tribunal acordó, de conformidad con el art. 10.1 n) LOTC y a propuesta de su Sala Segunda,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7 de octubre de 2014, se señaló para la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Primera de la Audiencia Provincial de A Coruña de 30 de septiembre de 2008 (rollo núm. 6-2007) que condenó a los demandantes de amparo como responsables de los diversos delitos que se han detallado en los antecedentes de esta resolución, así como contra la Sentencia de la Sala de lo Penal del Tribunal Supremo de 30 de diciembre de 2009 que desestimó el recurso de casación (núm. 11595-2008) formulado contra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 amparo mantienen que su condena se sustenta únicamente en las declaraciones autoinculpatoarias que prestaron ante la Guardia Civil, pero que no ratificaron ante el Juez de Instrucción ni en el acto del juicio oral. De este modo, a su entender, se habrían vulnerado los derechos a la tutela judicial efectiva (art. 24.1 CE) —en su vertiente de derecho a obtener una resolución motivada y fundada en Derecho— así como los derechos de defensa y a la presunción de inocencia (art. 24.2 CE), en relación con los principios de interdicción de la arbitrariedad de los poderes públicos (art. 9.3 CE) y de necesidad de motivación de las resoluciones judiciales (art. 120.3 CE). Por el contrario, se oponen al otorgamiento del amparo el Ministerio Fiscal y la representación procesal de don Baldomero Rey Carril y doña María Pose Novo, padres de la víctima asesinada.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delimitar adecuadamente el objeto del presente recurso de amparo, resulta necesario precisar que las diversas vulneraciones de derechos fundamentales que alegan los demandantes se encuentran íntimamente unidas, de tal forma que han de ser enjuiciadas conjuntamente, puesto que se reconducen a la denuncia de infracción del derecho a la presunción de inocencia en relación con el derecho a un proceso con todas las garantías (art. 24.2 CE), al quedar centrada la controversia en si las declaraciones prestadas en las dependencias policiales por los recurrentes pueden alcanzar alguna eficacia probatoria, pues, de negárseles la misma, no concurriría, a su juicio, prueba de cargo suficiente en la que seguir sustentando las condenas.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ha quedado visto, lo que en este recurso de amparo se cuestiona es el valor probatorio de las manifestaciones prestadas en el curso de unas diligencias policiales cuando, siendo autoinculpatorias, se produzca una posterior retractación ante la autoridad judicial. Los contenidos esenciales de nuestra doctrina en la materia, sintetizados por las SSTC 68/2010, de 18 de octubre, FJ 5; y 53/2013, de 28 de febrero, FFJJ 3 a 5,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regla general, sólo pueden considerarse pruebas que vinculen a los órganos de la justicia penal las practicadas en el juicio oral, pues el procedimiento probatorio ha de tener lugar necesariamente en el debate contradictorio que en forma oral se desarrolle ante el mismo Juez o Tribunal que ha de dictar Sentencia, de manera que la convicción sobre los hechos enjuiciados se alcance en contacto directo con los medios de prueba aportados a tal fin por las partes (por todas, SSTC 182/1989, de 3 de noviembre, FJ 2; 195/2002, de 28 de octubre, FJ 2; 206/2003, de 1 de diciembre, FJ 2; 1/2006, de 16 de enero, FJ 4; 345/2006, de 11 de diciembre, FJ 3, o 134/2010, de 3 de diciembre, FJ 3). Es en el juicio oral donde se aseguran las garantías constitucionales de inmediación, contradicción, oralidad y publicidad (entre otras muchas, STC 67/2001, de 17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regla que se viene de enunciar, sin embargo, no puede entenderse de manera tan radical que conduzca a negar toda eficacia probatoria potencial a otras diligencias. En efecto, nuestra doctrina ha admitido que la regla general consiente determinadas excepciones, particularmente respecto de las declaraciones prestadas en fase sumarial cuando se cumplan una serie de presupuestos y requisitos que “hemos clasificado como: a) materiales —que exista una causa legitima que impida reproducir la declaración en el juicio oral—; b) subjetivos —la necesaria intervención del Juez de Instrucción—; c) objetivos —que se garantice la posibilidad de contradicción, para lo cual ha de haber sido convocado el Abogado del imputado, a fin de que pueda participar en el interrogatorio sumarial del testigo—; d) formales —la introducción del contenido de la declaración sumarial a través de la lectura del acta en que se documenta, conforme a lo ordenado por el art. 730 LECrim—, o a través de los interrogatorios, lo que posibilita que su contenido acceda al debate procesal público y se someta a confrontación con las demás declaraciones de quienes sí intervinieron en el juicio oral” [STC 68/2010, FJ 5 a), y los restantes pronunciamientos de este Tribunal allí igualmente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el contrario, la posibilidad de otorgar la condición de prueba a declaraciones prestadas extramuros del juicio oral no alcanza a las practicadas ante la policía. Se confirma con ello la doctrina de la STC 31/1981, de 28 de julio, FJ 4, según la cual “dicha declaración, al formar parte del atestado, tiene, en principio, únicamente valor de denuncia, como señala el art. 297 de la LECrim”, por lo que, considerado en sí mismo, y como hemos dicho en la STC 68/2010, FJ 5 b), “el atestado se erige en objeto de prueba y no en medio de prueba, y los hechos que en él se afirman por funcionarios, testigos o imputados han de ser introducidos en el juicio oral a través de auténticos medios probatorios”.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criterio descrito en la letra anterior no significa, no obstante, negar eficacia probatoria potencial a cualquier diligencia policial reflejada en el atestado, puesto que, si se introduce en el juicio oral con respeto “a la triple exigencia constitucional de toda actividad probatoria: publicidad inmediación y contradicción” (SSTC 155/2002, de 22 de julio, FJ 10; y 187/2003, de 27 de septiembre, FJ 4), puede desplegar efectos probatorios, en contraste o concurrencia con otros elementos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tanto, las declaraciones obrantes en los atestados policiales no tienen valor probatorio de cargo. Singularmente, ni las declaraciones autoincriminatorias ni las heteroinculpatorias prestadas ante la policía pueden ser consideradas exponentes de prueba anticipada o de prueba preconstituida. Y no sólo porque su reproducción en el juicio oral no se revele en la mayor parte de los casos imposible o difícil sino, fundamentalmente, porque no se efectuaron en presencia de la autoridad judicial, que es la autoridad que, por estar institucionalmente dotada de independencia e imparcialidad, asegura la fidelidad del testimonio y su eventual eficacia probatoria. De ese modo, no puede confundirse la acreditación de la existencia de un acto (declaración ante la policía) con una veracidad y refrendo de sus contenidos que alcance carácter o condición de prueba por sí sola (STC 53/2013, FJ 4). Debemos recordar que el art. 282 de la Ley de enjuiciamiento criminal (LECrim) encomienda a la policía judicial la averiguación de los delitos y la práctica, según sus atribuciones, de las diligencias necesarias para comprobarlos y descubrir a los delincuentes, así como recoger todos los efectos, instrumentos o pruebas del delito de cuya desaparición hubiere peligro, poniéndolos a disposición de la autoridad judicial. El resultado de tales diligencias se documentará en un atestado, en el que se especificarán con la mayor exactitud los hechos averiguados, insertando las declaraciones e informes recibidos y anotando todas las circunstancias que hubiesen observado y pudiesen ser prueba o indicio del delito (art. 292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forma parte del contenido natural del atestado la toma de declaración a cuantas personas pudieran contribuir al esclarecimiento de los hechos investigados. Concluidas las diligencias policiales, el atestado será remitido a la autoridad judicial, que podrá acordar la incoación del correspondiente proceso penal y, en caso de su prosecución, remitirá al tribunal sentenciador el atestado, como el resto de las actuaciones que conforman el sumario. Ahora bien, esta normal idoneidad del atestado para ser incorporado al proceso no equivale a considerar que las declaraciones que en el mismo se contengan constituyan un medio de prueba, como seguidamente se expondrá.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capacidad de la declaración de una persona para acreditar un determinado hecho o su inexistencia, está sujeta a diferentes exigencias: la primera, que afecta a su validez, es la regularidad de su obtención, lo que simplemente permitirá su incorporación al proceso; por el contrario, su eficacia probatoria precisará que el legislador le atribuya esa cualidad y que el órgano judicial aprecie su concreta credibilidad o fuerza de convicción.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operación implica la depuración del material potencialmente probatorio que pretende acceder al proceso, esto es, el control acerca de si su obtención se ha producido con cumplimiento de las exigencias constitucionales y legales. Tajantemente impone el art. 11.1 de la Ley Orgánica del Poder Judicial (LOPJ) que “no surtirán efecto las pruebas obtenidas, directa o indirectamente, violentando los derechos o libertades fundamentales”, por lo que su utilización en el proceso constituye, en los términos delimitados por nuestra jurisprudencia, una vulneración del derecho a un proceso con todas las garantías (art. 24.2 CE). La función de este derecho fundamental en el ámbito de los procesos penales es, precisamente, asegurar el interés público en que la condena penal, entroncada también con otro interés constitucional como es el de la persecución del delito, resulte de un juicio justo; interés constitucional en un juicio justo asentado en los principios del Estado de Derecho y en los valores constitucionales de libertad y justicia ex art. 1.1 CE (STC 130/2002, de 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incorporación al proceso de una declaración policial puede objetarse ad casum, ya sea cuestionando que fue realmente efectuada en los términos recogidos o negando que las garantías constitucional y legalmente establecidas hubiesen sido respetadas.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debemos partir de que pesa sobre el instructor y el secretario de las diligencias policiales la responsabilidad de que el atestado sea fiel reflejo de las actuaciones realizadas y, por tanto, de que queden debidamente documentadas las diversas declaraciones que se hayan prestado. Con todo, cuando las personas que declararon en dependencias policiales negasen posteriormente que el atestado refleje fielmente el contenido de sus declaraciones o las condiciones en que se prestaron, no pueden los órganos judiciales rechazar tales objeciones con la simple remisión a lo que en el atestado figure, pues, como en múltiples veces hemos señalado, los atestados, en sí mismos, no se erigen en medio, sino en objeto de prueba (por todas, SSTC 303/1993, de 25 de octubre, FJ 4; y 173/1997, de 14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fin de esclarecer tales extremos es por lo que el órgano judicial podrá llamar a su presencia a los funcionarios policiales u otras personas que de un modo u otro puedan dar razón del acto de la declaración policial y de sus circunstancias. Y en este punto, como señala el art. 297 LECrim, las declaraciones de los funcionarios de policía judicial “tendrán el valor de declaraciones testificales en cuanto se refieran a hechos de conocimiento propio”. Es por ello que en la STC 51/1995, de 23 de febrero, FJ 5, afirmamos —y reiteramos en la STC 206/2003, de 1 de diciembre, FJ 2— que para que tales declaraciones puedan adquirir el valor de prueba de cargo es imprescindible “que los funcionarios de policía ante quienes se prestó el citado testimonio declarasen como testigos en el acto del juicio oral, con la observancia de los principios de contradicción e inmediación”.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Apreciado por el órgano judicial que los demandantes hicieron las manifestaciones que constan en el atestado procesal y que sus declaraciones se prestaron con arreglo a las previsiones constitucionales y legales, una vez abierta la sesión del juicio oral preguntará el Presidente del tribunal a cada acusado si se confiesa reo de los delitos imputados en el escrito de calificación arts. 688 a 689 LECrim; de no ser así, o si su defensor lo considerase necesaria, se procederá a la celebración del juicio (arts. 696 y 697 LECrim). Es también indudable que las partes pueden pedir la lectura en el plenario de las declaraciones policiales, como la de cualquier otra actuación sumarial. Y en modo alguno está vedado que si en el acto del juicio oral el imputado modificara o se retractase de sus anteriores manifestaciones, se le pueda pedir que explique la diferencia o contradicción, teniendo aquel libertad para responder del modo que tuviere conveniente, incluida la negativa a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Alcanzado este punto, si tras el anterior proceder el acusado no admite ante el tribunal sentenciador su participación en el delito, retractándose de sus declaraciones iniciales, lo que se plantea es si aquellas declaraciones —por más que se produjera su incorporación al plenario con sometimiento a las garantías de publicidad, oralidad, contradicción e inmediación— pueden merecer la calificación de prueba y sustentar una sentencia condenatoria. Esta, y no otra, es la cuestión que se somete a nuestra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Hemos anticipado en el fundamento jurídico precedente que para que la declaración de una persona sea idónea para acreditar un determinado hecho —esto es, para que tenga eficacia probatoria— no es suficiente con que haya sido regularmente prestada, pues ello sólo determina su validez y, en consecuencia, su aptitud para ser incorporada al proceso. Su eficacia probatoria precisará que el legislador le atribuya esa cualidad y que el órgano judicial aprecie su credibilidad o fuerza de convicción.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ha quedado expuesto, plantea la demanda el valor probatorio de las declaraciones autoinculpatorias prestada en unas diligencias policiales. La respuesta es inequívoca: ninguno. En el actual estado de nuestra jurisprudencia no es posible fundamentar una sentencia condenatoria, esto es, entender destruida la presunción de inocencia que constitucionalmente ampara a todo imputado con el exclusivo apoyo de una declaración en la que aquél reconozca su participación en los hechos que se le atribuyen. Sólo los actos procesales desarrollados ante un órgano judicial pueden generar verdaderos actos de prueba susceptibles, en su caso, de ser valorados conforme a las exigencias impuestas por el art. 741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Convenio europeo de derecho humanos (CEDH), como señala la STEDH dictada por la Gran Sala el 1 de junio de 2010 en el caso Gäfgen c. Alemania, garantiza en su art. 6 el derecho a un proceso equitativo pero no regula la admisibilidad de los medios de prueba, cuestión que compete al derecho interno; lo que queda excluido es la utilización de confesiones obtenidas con violación del art. 3 CEDH, en el que se establece la interdicción de la tortura y las penas o tratos inhumanos o degradantes, añadiendo que el art. 3, a diferencia del art. 6, consagra un derecho absoluto (§ 178). Ya anteriormente señaló la STEDH de 27 de febrero de 2001, caso Luca, § 40, que “utilizar las declaraciones que se remontan a la fase de instrucción preparatoria no vulnera el artículo 6.3 d) y 6.1, siempre que se respeten los derechos de la defensa. Por norma general, estos exigen conceder al acusado una ocasión adecuada y suficiente para oponerse a un testimonio en su contra e interrogar a su autor, en el momento de la declaración o más tarde” (en el mismo sentido, SSTEDH de 20 noviembre 1989, caso Kostovski c. Holanda; de 19 de diciembre de 1990, caso Delta c. Francia; y de 26 de abril de 1991, caso Asch c. Austria).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español, en su libertad de configuración de los medios de prueba admisibles en el proceso penal, aun permitiendo que declaraciones efectuadas en la fase sumarial puedan sustentar una declaración de condena, lo ha limitado a las declaraciones prestadas ante el Juez de Instrucción. Sólo cuando se produzca una rectificación o retractación de su contenido en el acto del juicio oral (art. 714 LECrim) o una imposibilidad material de su reproducción (art. 730 LECrim), las declaraciones prestadas con anterioridad podrán alcanzar el valor de prueba de cargo siempre que se reproduzcan en el acto del juicio oral mediante la lectura pública del acta en las que se documentaron, o introduciendo su contenido a través de los interrogatorios, pero bajo condición de que se trate de declaraciones prestadas ante el Juez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desde la STC 31/1981, de 28 de julio, FJ 4, venimos diciendo que para que la confesión ante la policía se convierta en prueba no basta con que se dé por reproducida en el juicio oral sino que es preciso que sea reiterada y ratificada ante el órgano judicial. Nuestra jurisprudencia ha repetido de modo constante que “las declaraciones obrantes en los atestados policiales carecen de valor probatorio de cargo” (por todas, SSTC 51/1995, de 23 de febrero, FJ 2, y 68/2010, de 18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ante una opción del legislador español que en caso de no ser respetada por los órganos judiciales da lugar a la vulneración del derecho a un proceso con todas las garantías (art. 24.2 CE), e incluso del derecho a la presunción de inocencia cuando la eliminación de la prueba irregularmente valorada deje sin sustento el relato de hechos probados que soporta la declaración de culpabilidad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es preciso armonizar dos extremos: de un lado, los demandantes reconocieron los hechos punibles en sendas declaraciones prestadas con observancia de las formalidades y garantías que el ordenamiento procesal y la Constitución establecen, por lo que tales declaraciones fueron válidamente incorporadas al proceso. De otro, tal confesión no tiene valor de prueba de cargo para sustentar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al mismo tiempo hemos señalado repetidamente que “el atestado se erige en objeto de prueba y no en medio de prueba” (STC 31/1981, de 28 de julio, FJ 4). Por consiguiente, dado que la declaración policial autoincriminatoria no es la prueba sino el objeto sobre el que deberá versar la actividad probatoria, ha de seguirse de ello que las partes acusadoras tienen, derivado del art. 24.2 CE, el derecho a proponer medios de prueba tendentes a acreditar que el imputado fue veraz cuando reconoció el hecho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autoinculpatoria en el curso de las diligencias policiales no es una prueba de confesión pero sí una de manifestación voluntaria y libre documentada que cuando se realiza con observancia de requisitos legales adquiere existencia jurídica. De una parte, como elemento de contraste con las declaraciones judiciales posteriores, incidiendo en su propia credibilidad. De otra, la declaración policial puede contener datos cuya veracidad resulte comprobada mediante verdaderos medios de prueba. Las declaraciones obrantes en los atestados policiales no tienen valor probatorio de cargo. Por ello en nuestra STC 53/2013, de 28 de febrero, FJ 5, declaramos que “se producirá también la vulneración del derecho a la presunción de inocencia siempre que la eliminación de la prueba irregularmente valorada deje sin sustento el relato de hechos probados que soporta la declaración de culpabilidad del acusado” lo que sucederá “cuando la prueba personal eliminada sea la única tomada en cuenta por la resolución impugnada”. Pero la cuestión debe analizarse con una perspectiva diferente si esas declaraciones autoinculpatorias documentadas en el atestado policial ponen de manifiesto unos hechos que son acreditados por otros medios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traslado de las anteriores consideraciones al presente caso permite descartar la vulneración del derecho a un proceso con todas las garantías (art. 24.2 CE) y, consiguientemente, del derecho a la presunción de inocencia (art. 24.2 CE)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en relación con el respeto a las garantías procesales y constitucionales con que se prestaron las declaraciones ante los agentes de la Guardia Civil, debe advertirse que los demandantes no han negado que hubiesen realizado las manifestaciones que quedaron plasmadas en la declaración policial, sino que adujeron haberlas prestado bajo presión (declaración de José Francisco Botana, documentada en los folios 3 y 4 del acta de 11 de septiembre de 2008), concretamente ante la promesa de obtener un trato judicial de favor (declaración de José Francisco Botana documentada en el folio 5 de la misma acta y declaración de Rogelio Botana documentada en los folios 6 y 7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la declaración realizada ante el Juez de Instrucción por don José Francisco Botana, con motivo de retractarse de su primera declaración policial, dijo que “lo que declaró lo hizo porque quiso, no por obligación, que declaró así porque tenía miedo. Que lo que les dijo a la Guardia Civil no es cierto; que la Guardia Civil no le presionó para declarar, que contó lo que se le fue ocurriendo”. En la declaración judicial prestada por don Rogelio Botana Blanco, al retractarse de la declaración policial, afirma que “la de hoy la prestó porque estaba nervioso” … “Que no es cierto nada del atestado de hoy. Que declaró en presencia de Abogado designado por el declarante; que la Guardia Civil ni le amenazó ni coaccionó; tampoco le dijeron lo que tenía que declarar, lo que figura en el atestado es lo que se le iba ocurriendo al declarante” … “Que no quiso firmar porque sabía que lo que figuraba era mentira, y él quiere decir la verdad; que los detalles de la declaración se los inventó”. En el plenario reiteraron su retractación respecto a lo que declararon en el atestado y manifestaron que la Guardia Civil les presionó, aunque “no le amenazaron ni le pegaron” (declaración de José Francisco, folio 4 del acta); por su parte Rogelio manifestó que la Guardia Civil les dijo que si lo reconocía “iba a salir”, “que los guardias le leyeron la declaración de su hermano, que si se declaraba culpable salía en libertad”, “eran constantes las visitas a los calabozos. No firmó porque no iba a decir que fue él, sin haber sido” (folio 8 del acta).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objeciones fueron rechazadas motivadamente por la Audiencia Provincial de A Coruña (fundamento jurídico 2 de su Sentencia), que en el juicio oral escuchó a tal fin al agente de la Guardia Civil que tomó las declaraciones. Por nuestra parte, debemos señalar que este Tribunal ha de respetar los hechos que se declaran probados por los órganos judiciales en el ejercicio de la potestad que les confiere el art. 117.3 CE (por todas, STC 58/1984, de 9 de mayo, FJ 2) por lo que debemos partir de que las declaraciones fueron prestadas por los recurrentes en las dependencias policiales sin sombra de presión o ilícita promesa, conforme a lo apreciado por la Audiencia Provincial de A Coruña en su Sentencia; máxime cuando el mismo carácter delictivo de la supuesta presión debió dar lugar a la oportuna denuncia que permitiera su investigación judicial; omisión de la parte que no puede ser subsanada en vía constitucional de amparo, sin oportunidad de un pronunciamiento previo de los Tribunales ordinarios competentes (ATC 970/1987, de 29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que se produjera la incorporación al plenario de las declaraciones policiales con sometimiento a las garantías de publicidad, oralidad, contradicción e inmediación, fue escrupulosamente observada, pues la Sala no se limitó a la simple reproducción genérica y formularia de lo declarado inicialmente, sino que el acta que documenta tal acto pone de manifiesto que se interrogó a los encausados sobre el contenido concreto y detallado de las declaraciones policiales; oportunidad que éstos utilizaron negando sus manifestaciones iniciales.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de cuanto antecede sólo podemos concluir que la declaración del agente de la Guardia Civil fue idónea para formar el juicio del tribunal acerca de las circunstancias en que se prestó la declaración de los detenidos, pero sin incidir en el contenido veraz o no de esas mismas declaraciones. No cabe pretender que ese testimonio pueda ser valorado y tenido en cuenta para otorgar mayor credibilidad a las declaraciones policiales de los recurrentes frente a sus posteriores retractaciones en la fase de instrucción ante el Juez y luego en la vista oral. El testimonio de un agente policial ante el que se presta declaración no puede ir más allá de la mera constatación de que tal declaración tuvo lugar, que su contenido es el que se refleja en el atestado y que se desarrolló con las circunstancias que en el mismo se hagan constar. Como señala el Ministerio Fiscal, pretender extender su comparecencia como testigo a un examen de la credibilidad de la declaración o incluirla como elemento de valoración probatoria de refuerzo de ella frente a otras de sentido diferente, no es posible. En efecto, como señala el art. 297 LECrim, las declaraciones de los funcionarios de policía judicial documentadas en el atestado “tendrán el valor de declaraciones testificales en cuanto se refieran a hechos de conocimiento propio”, pero las demás manifestaciones que hicieren a consecuencia de las averiguaciones que hubiesen practicado sólo “se considerarán denuncias para los efectos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Debemos por tanto examinar a continuación si, como se afirma en la demanda, la condena de los recurrentes está exclusivamente fundada en su reconocimiento de los hechos ante los agentes de la Guardia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resoluciones judiciales impugnadas, los medios de prueba ajenos a la autoinculpación que han ponderado los órganos judiciales para apreciar la responsabilidad de los demandantes son de distinto signo.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se considera acreditado el contenido de las autoinculpaciones en atención a la declaración en el plenario de la víctima supérstite, que dio detalles de las acciones llevadas a cabo por las dos personas que les asaltaron y que resultan coincidentes con lo declarado por los recurrentes en sede policial. En concreto, que “ el conductor que tapaba la cara con una braga y una gorra, sacó una pistola al dirigirse al coche, el otro llevaba una braga algo oscura y un cuchillo. Cuando llegó a la ventanilla, el piloto sacó la pistola y apuntó a Martín. Los dos hablaron y les pidieron lo que tuvieran. El de su lado intentó abrir la puerta. Rompió la ventanilla en ese momento el que estaba por el lado de Martín dijo vamos que le disparo...”. Afirma el Tribunal Supremo que esta coincidencia solo puede tener por explicación la presencia de los recurrentes en el lugar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quedó demostrada la veracidad de su relato, al haberse acreditado por otros medios de prueba la participación en los hechos de don Iván Añón Botana, a quienes los recurrentes atribuyeron la autoría material del disparo mortal “a cañón tocante”, siendo así que tal participación quedó posteriormente acreditada mediante prueba pericial que evidenció la existencia de restos de pólvora en su mano y por el hallazgo en su domicilio de documentos y prendas con restos de sangre de la víctima. Igualmente pone de relieve la Sala de lo Penal del Tribunal Supremo la contradicción en que incurrieron los recurrentes en la diligencia de careo que se practicó en el juicio oral, dando tres versiones dispares acerca de la razón por la que incriminaron a Iván Añón Botana en sus declaraciones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elementos probatorios, ajenos a las declaraciones autoinculpatorias pero que acreditaron la veracidad de éstas, son los que han llevado a los órganos de la jurisdicción penal a alcanzar un juicio sobre la responsabilidad penal de los demandantes, sin incurrir en vulneración de sus derechos a un proceso con todas las garantías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Rogelio Botana Blanco y don José Francisco Botana Blanco.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octubre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