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15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17/12/2014Presidente,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6870-2007, interpuesto por el Gobierno de la Generalidad de Cataluña contra los arts. 3 b), 6.4, 8.2, 15.5, 16.3 y 4, 17.4, 22, 24.2 y 3, 27.6, 28.5, 30.2, 32, 33, 34, 36.3 y disposición adicional primera del Real Decreto 395/2007, de 23 de marzo, por el que se regula el subsistema de formación profesional para el empleo. Ha comparecido y formulado alegaciones el Abogado del Estado. Ha sido Ponente la Magistrada Dª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agosto de 2007 tuvo entrada en el Registro del Tribunal Constitucional escrito del Abogado de la Generalitat de Cataluña, actuando en la representación que legalmente ostenta, mediante el que se interpone un conflicto positivo de competencias contra los arts. 3 b), 6.4, 8.2, 15.5, 16.3 y 4, 17.4, 22, 24.2 y 3, 27.6, 28.5, 30.2, 32, 33, 34, 36.3 y la disposición adicional primera del Real Decreto 395/2007, de 23 de marzo, por el que se regula el subsistema de formación profesional para el empleo. Los argumentos en que se fundamenta la demanda son, sucintamente expuestos los siguientes. Tras justificar el cumplimiento de los requisitos formales establecidos para este tipo de procesos y recordar la evolución normativa y doctrina constitucional en la materia, pasa a analizar el marco competencial en que debe incardinarse la norma impugnada. En lo relativo al título del art. 149.1.17 CE, reitera los argumentos expuestos contra el Real Decreto 1046/2003, según los cuales el Estado estaría vinculando a la “caja única” y al régimen económico de la Seguridad Social cuotas que no son recursos de la Seguridad Social, aunque su recaudación se le haya atribuido por motivos organizativos. Entiende que el título aplicable es el contemplado en el art. 149.1.7 CE sobre legislación laboral, sin que exista a este respecto discrepancia entre las partes, siendo así que el art. 170.1 del Estatuto de Autonomía de Cataluña (EAC) vigente atribuye a la Comunidad Autónoma la competencia ejecutiva en materia de trabajo y relaciones laborales y, en concreto, sobre las políticas activas de ocupación que comprende la formación de los demandantes de empleo y de los trabajadores en activo y también la gestión de las subvenciones correspondientes. Corresponde, por tanto, a la Generalitat la competencia ejecutiva para la aplicación de la normativa estatal sobre formación para el empleo y la participación en los planes de ámbito supra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explicación de las novedades del sistema de formación, la demanda realiza una crítica global al sistema. So pretexto de afectar a varias Comunidades Autónomas y de que se requiera una acción compartida y homogénea, numerosos preceptos de la disposición impugnada siguen atribuyendo al Servicio Público de Empleo Estatal unas facultades que, lejos de ser de coordinación, significan la gestión directa de la principal parte de los fondos de formación para el empleo, así como su control en los supuestos más relevantes. También las competencias de planificación, forma de actuación de las acciones formativas y la determinación de la estructura organizativa suponen una merma de las competencias autonómicas, pues una cosa es la obligación de informar al órgano estatal y otra que la planificación de la oferta formativa quede sujeta a órganos estatales, siendo la regulación de la organización de la oferta demasiado detallada lo que deja en manos de las Comunidades Autónomas muy poco margen para el ejercicio de sus competencias un margen muy detallado.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3 b) considera que la articulación de una parte de las ayudas a la formación profesional para el empleo a través de las bonificaciones a la cuota de formación profesional con la consiguiente intervención de la Seguridad Social, da a entender que los créditos destinados a formación son fondos de la Seguridad Social, en contra de lo afirmado por la STC 124/1989, a lo que hay que añadir que aplicar el sistema de caja única es contradictorio con el art. 6 del Reglamento, que establece otras fuentes de financiación procedentes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establece unos criterios y puntos de conexión para atribuir la competencia ejecutiva al Estado que no respetan las competencias autonómicas, pues, también en esos casos, es posible su tramitación por las Comunidades Autónomas limitándose el Estado a un papel de mero coordinador, de manera que no es posible atribuirle las facultades contempladas en los arts. 16.3, 17.4, 22, 24.2 y 3, 27.6, 28.5, 30.2, 32.1 y 36.3. El art. 8.2 regula de forma tan pormenorizada la organización de oferta de formación para el empleo que la decisión que corresponde a las Comunidades Autónomas es especialmente limitada, sirviendo como ejemplo la exigencia de un límite máximo de 25 participantes que, aunque formulado como límite máximo no puede rebajarse en la práctica lo que lo convierte en un número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15 y 35.1 a), alega que el apartado primero del art. 15 establece el deber de información que las empresas deben dar a la representación legal de los trabajadores de las actuaciones formativas a realizar pero no a las administraciones laborales competentes para que éstas puedan llevar a cabo su seguimiento y control, mientras que la atribución a las comisiones paritarias de las funciones de arbitraje (art. 15. 5 y 35.1 a) es una decisión que corresponde adoptar a la Comunidad Autónoma. Finalmente la interpretación sistemática del párrafo final del art. 15.5 atribuye a la Tesorería General de la Seguridad Social la resolución sobre la afectación y adquisición del derecho a la bonificación, competencia ejecutiva que debe corresponder a la Comunidad Autónoma. El art. 16.4 es inconstitucional porque garantizar la información de las Comunidades Autónomas no es garantizar sus competencias ejecutivas en materia laboral que siguen estando en manos del Estado. De la misma forma los arts. 33 y 34 crean una estructura organizativa y de participación centralizada que permite al Estado controlar la planificación de la oferta formativa cuando esta es una competencia autonómica. Así, se está convirtiendo las competencias exclusivas de las Comunidades Autónomas en competencias compartidas y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primera al reservar a la Administración General del Estado, a través del Servicio Público de Empleo Estatal  la realización de las funciones ejecutivas de evaluación, seguimiento y control de las iniciativas de formación en las empresas con centros de trabajo en varias Comunidades Autónomas establece un criterio que rediseña el orden competencial, pues el reconocimiento expreso de que las Comunidades Autónomas pueden establecer su sistema de evaluación o seguimiento y control de las acciones formativas se ve minimizado por la introducción de este criterio, cuando nada permite entender que resulte imprescindible para garantizar la plena efectividad de las actuaciones de formación que la gestión sea centralizada. Los beneficiarios de las acciones de formación son los trabajadores ocupados, por lo que el punto de conexión debe tener relación con el sitio donde se lleva a cabo la actividad formativa de que se trate. Las empresas que disponen de varios centros tienen varios códigos de cuenta de cotización a la Seguridad Social, cada uno de los cuales identifica a la empresa con el ámbito provincial, por lo que en la práctica es posible aplicar la bonificación de las cuotas Y en cuanto a las acciones formativas de ámbito superior bien puede prorratearse según el lugar de trabajo de los que participen en ellas, agrupando a los que lo hagan dentro de un mismo ámbito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de lo expuesto el representante procesal de la Generalitat termina suplicando se declare que la competencia controvertida corresponde a Cataluña y que la referida disposición, destacadamente en los preceptos antes señalados, vulnera el orden constitucional de competencias y no es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septiembre de 2007, el Pleno acordó admitir a trámite el conflicto de competencia y atribuir a la Sala Primera su conocimiento, ordenando dar traslado de la demanda, para personación y alegaciones, al Gobierno de la Nación, por conducto de su Presidente, y comunicar la incoación del conflicto a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octubre de 2007 tuvo entrada en el Registro del Tribunal Constitucional escrito del Abogado del Estado solicitando la prórroga del plazo concedido, que fue estimado por providencia de la Sala Primera de 3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este Tribunal el 13 de noviembre de 2007, el Abogado del Estado presentó las alegaciones, que a continuación se resumen, que le llevaron a suplicar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explicar de forma pormenorizada el sistema regulado en el Real Decreto impugnado, realiza el encuadramiento competencial. Considera que aunque la formación profesional continua debe encuadrarse de forma prevalente en materia laboral, no cabe descartar la importancia que tiene el empleo para las políticas económicas de ahí la incidencia del título contemplado en el art. 149.1.13 CE, dado que la norma impugnada unifica la formación profesional continua y ocupacional. Resulta también de aplicación el art. 149.1.17 CE habida cuenta de que el sistema se basa en bonificaciones a las cotizaciones de las empresas a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reproduciendo la doctrina constitucional existente en relación a los tres títulos competenciales invocados en supuestos que guardan relación con el aquí abordado, y realiza un somero análisis de la historia de los conflictos en materia de formación laboral. El sistema de sistema de bonificación —prosigue el Abogado del Estado—, como instrumento de financiación de la formación, cumple con los requerimientos de eficacia, agilidad y flexibilidad para conseguir los objetivos de la formación dirigida a la formación de demanda. Así pues, corresponde a las empresas, trabajadores y representantes legales de los trabajadores, la planificación y gestión de dicha formación limitándose la acción pública al control, seguimiento y evaluación de las acciones formativas. Frente al reproche general de la inconstitucionalidad del sistema establecido, considera los planes de formación que realiza la empresa son para toda la empresa, para todos sus centros, y sujetos al control de la representación legal de los trabajadores en las empresas, por ello el punto de conexión debe ser éste y no el lugar donde se lleve a cabo a la actividad formativa pues ello implicaría que una misma empresa tendría que someterse a controles distintos cuando la formación de sus empleados se realiza como estrategia de apoyo a la empresa. El Real Decreto no establece una estructura administrativa centralizada atribuyendo al Estado la gestión centralizada de los fondos porque a través de la norma no se destinan fondos, que se distribuyen en el seno de la conferencia sectorial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b) contempla la unidad de caja de la cuota de formación profesional como uno de los principios de la formación profesional para el empleo, pero sin perjuicio de que se trate de cuotas de la Seguridad Social o no, no se entiende como el principio de caja única puede vulnerar las competencias ejecutivas de las Comunidades Autónomas, pues es indudable que corresponde al Estado la recaudación de las cuotas y es por ello a la Seguridad Social a la que corresponde practicar las correspondientes bonificaciones. La aplicación del sistema de caja única no es incongruente con la existencia de otras fuentes de financiación del subsistema pues de la simple lectura de la letra b) se deduce inequívocamente la unidad de caja sólo se refiere a la cuota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parte de que un plan de formación es una unidad homogénea diseñada de forma unitaria respondiendo a necesidades determinadas que, en el caso de planes estatales, adquieren una dimensión que excede de la suma de planes autonómicos, existiendo una evidente conexión entre la negociación colectiva plasmada en los convenios sectoriales en los que se regulan los aspectos relativos a la formación continua que se trata a los planes estatales a fin de dotar al sector de una formación específica y homogénea. De la STC 95/2002 se desprende la relevancia de la supraterritorialidad en orden a determinar la imposibilidad de gestión de determinados planes formativos por las Comunidades Autónomas. En este caso la supraterritorialidad aparece, además, combinada con los criterios establecidos en el art. 6.4, y aun así, la gestión de los planes no desapodera a las Comunidades Autónomas pues se otorga un papel esencial a la Fundación Tripartita para la Formación en el Empleo que es una entidad de colaboración y apoyo técnico. La referencia a los preceptos relacionados con el art.4 que contiene la demanda, no debe permitir al Estado entrar en su valoración por cuanto la demanda no cumple con la carga de alegación de los fundamentos jurídicos en que se apoya más allá de invocar su relación con el precepto sobre el que sí se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tiene potestad normativa plena por lo que no es posible admitir la inconstitucionalidad del art. 8.2 por no dejar margen regulatorio alguno a las Comunidades Autónomas. En cuanto al art. 15 impugnado considera que la obligación de información a los representantes de los trabajadores nada tiene que ver con la información a las Administraciones para el ejercicio de sus competencias de ahí que no se haya vulnerado las competencias laborales de las Comunidades Autónomas. La atribución a las comisiones paritarias de la función de mediación es legítimo ejercicio de la competencia legislativa en la materia estableciendo que estas discrepancias se diriman en primera instancia entre trabajadores y empresarios sin injerencia de las Administraciones, lo que se justifica por la necesidad de no colapsar las Administraciones con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33 y 34 no se inmiscuyen en el ámbito organizativo de las Comunidades Autónomas, pues la estructura que configura no impide a las Comunidades Autónomas que establezcan su propia organización para el ejercicio de su competencia de ejecución de la formación profesional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disposición adicional, considera que el fraccionamiento autonómico, del control sobre la acción formativa realizada por empresarios que operan en más de una Comunidad Autónoma y que se financian por bonificaciones, es contrario al art. 103.2 puesto que somete aquella acción y respecto a la misma empresa a diferentes criterios según dónde se realice la acción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diciembre de 2014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 la Generalidad de Cataluña, actuando en la presentación que legalmente ostenta, interpuso conflicto positivo de competencias contra los arts. 3 b), 6.4, 8.2, 15.5, 16.3 y 4, 17.4, 22, 24.2 y 3, 27.6, 28.5, 30.2, 32, 33, 34, 36.3 y disposición adicional primera del Real Decreto 395/2007, de 23 de marzo, por el que se regula el subsistema de formación profesional para el empleo. Entiende la representación letrada de la Generalidad que la norma impugnada ha sido dictada al amparo de la competencia que asiste al Estado para establecer la legislación laboral pero que el sistema regulado vulnera las competencias ejecutivas de la Comunidad Autónoma en materia de formación profesional para el empleo, en la medida que traslada las funciones ejecutivas al Estado. Por el contrario, el Abogado del Estado considera que los preceptos cuestionados, dictados en el ejercicio de la competencia legislativa plena en materia laboral, son respetuosos con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conflicto de competencias versa sobre el mismo Real Decreto cuya constitucionalidad se discutió en los conflictos planteados por la Junta de Galicia, la Comunidad de Madrid y la Generalidad Valenciana, con idénticos o muy similares argumentos a los expuestos en los antecedentes, los cuales fueron resueltos por las SSTC 88/2014, de 9 de junio; 112/2014, de 7 de julio y 123/2014 de 21 de julio, a cuyos razonamientos nos remitiremos para resolver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materia en que debe incardinarse la norma impugnada es, de forma genérica, la legislación laboral del art. 149.1.7 CE. Puede haber supuestos en los que, atendido el tipo de actividad a la que se orienta, pueda entrar en juego el art. 149.1.13 CE, pero hay que descartar la inserción de la materia en el ámbito de la legislación básica y régimen económico de la Seguridad Social (STC 88/2014, de 9 de junio FJ 3). En definitiva, el reparto competencial viene dado por el art. 149.1.7 CE y por el art. 170.1 del Estatuto de Autonomía de Cataluña (EAC) vigente, que atribuye a la Comunidad Autónoma la competencia ejecutiva en materia de trabajo y relaciones laborales y, en concreto, sobre las políticas activas de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alegación, expuesta en los antecedentes, relativa a la inconstitucionalidad del modelo regulado, cabe señalar que es coincidente con la esgrimida por la Junta de Galicia en el recurso interpuesto contra la misma disposición ahora impugnada: a partir del establecimiento del principio de caja única, el sistema permite al Estado asumir las competencias ejecutivas en materia de formación profesional que se desplazan desde las Comunidades Autónomas a los centros decisores y organizadores estatales. La respuesta debe, por tanto, ser la misma. Como quiera que la Generalitat de Cataluña no reivindica para si la competencia normativa plasmada en la norma reglamentaria, sino las competencias ejecutivas que habría atraído el Estado y el Estado ha ejercido su competencia normativa, que es plena, debe rechazarse la impugnación global de la norma impugnada (STC 88/2014, de 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los concretos preceptos impugnados, cabe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 b), al consagrar el principio de caja única,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de ahí que no sea inconstitucional (STC 88/2014, de 9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impugnación de los arts. 16.3, 17.4, 22, 24.2 y 3, 27.6, 28.5, 30.2 y 36.3 que regulan una serie de competencias ejecutivas, se realiza por conexión con el art. 6.4 sobre cuya inconstitucionalidad versan exclusivamente las alegaciones de la recurrente. El art. 6 se limita a enunciar los criterios que habrán de aplicarse a los planes y acciones formativas para su financiación pueda realizarse mediante subvenciones gestionadas por el Servicio Público de Empleo Estatal, siendo en el momento en que se concreten estas acciones formativas cuando se podrá determinar si concurren o no, teniendo en cuenta, además, que en materia de formación profesional el ámbito estatal de los destinatarios de las ayudas y el contenido y naturaleza de las acciones formativas ponen de relieve la exigencia de una coordinación desarrollada por un único titular (STC 88/2014, de 9 de junio, FJ 6). En consecuencia, debemos rechazar la impugnación de este precepto y de los impugnados por su conexión con éste, salvo en lo que respecta al art. 30.2, pues como este Tribunal ya señaló en la STC 88/2014, FJ 10, se contempla aquí un supuesto de gestión centralizada de las ayudas por el Servicio Público de Empleo Estatal, sin que se prevea la posible existencia de circunstancias excepcionales que justifiquen esa atribución al Estado, salvo el solo criterio de la supraterritorialidad, por lo que, al no concurrir los requisitos establecidos en la STC 13/1992 que lo justificarían, se declaró que el precepto vulneraba las competencias de ejecución de las Comunidades Autónomas, tal y como se ha reiterado después en las SSTC 112/2014, FJ 7 g), y 123/2014,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art. 8.2, cabe señalar que en cuanto se limita a establecer los requisitos generales para el desarrollo de las actividades de formación, el ejercicio de la competencia legislativa plena que corresponde al Estado, no interfiere en las competencias ejecutivas autonómicas y, por tanto, no es inconstitucional [STC 112/2014, de 7 de julio,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Sin necesidad de entrar en el apartado primero del art. 15 que no ha sido incluido entre los preceptos impugnados y las alegaciones de la recurrente versan sobre la defectuosa técnica legislativa que conlleva el reconocimiento del deber de información a la representación legal de los trabajadores sin extenderlo a las Administraciones competentes para el seguimiento y control de las acciones formativas, cabe señalar, en cuanto al apartado 5 del art.15 y, por relación al mismo, el art. 35.1 a), que en la medida en que se contempla una función de mediación para la resolución de conflictos, sobre el contenido de las acciones formativas propuestas por la empresa, que se atribuye a estas comisiones paritarias formadas por organizaciones sindicales y empresariales, y llama a la intervención de las Administraciones competentes cuando subsista el desacuerdo, no cabe concluir la vulneración de las competencias autonómicas (STC 88/2014, de 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33 y 34 deben analizarse a partir de la consideración de que la mera previsión de una estructura y de participación entre el Estado, Comunidades Autónomas y agentes sociales implicados tiene por objeto la articulación del ejercicio de las respectivas competencias, por lo que no afectan al esquema competencial ni impiden a la Comunidad Autónoma que en ejercicio de su potestad de autoorganización cree los servicios y unidades que estime convenientes. El Consejo General del Sistema Nacional de Empleo se configura como órgano tripartito y paritario, con funciones esencialmente consultivas pero no ejecutivas. La Fundación Tripartita para la Formación en el Empleo es un órgano perteneciente al sector público estatal integrado por el Estado, Comunidades Autónomas y organizaciones empresariales y sindicales más representativas a la que se atribuyen funciones de impulso, coordinación, impulso y propuesta (STC 88/2014, de 9 de junio, FJ 11). Por este motivo no cabe apreciar vulneración de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establece un criterio para fijar el punto de conexión que deriva de un modelo de financiación que pivota sobre las empresas, que son las que gestionan las acciones formativas y su financiación a través de la bonificación en la cuota y son las beneficiarias directas del régimen de financiación. De ahí que la intervención administrativa, incluidas las funciones ejecutivas, hayan de ejercerse de forma unitaria sobre el núcleo empresarial ya que su fraccionamiento daría lugar a que la empresa tuviera un tratamiento heterogéneo en función de la ubicación de sus diferentes centros de trabajo, todo ello sin perjuicio de tener en cuenta, en cada caso, el efectivo alcance y afectación de las acciones formativas (STC 88/2014, de 9 de junio, FJ 12). Por este motivo la disposición adicional primera no vulnera las competencias de la Comunidad Autónoma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artículo 30.2, párrafo segundo, del Real Decreto 395/2007, de 23 de marzo, vulnera las competencias de la Generalidad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Luis Ignacio Ortega Álvarez y don Juan Antonio Xiol Ríos a la Sentencia dictada en el conflicto positivo de competencia núm. 6870-2007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 la Sala, debemos manifestar nuestra discrepancia con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tuvimos ocasión de exponer en el Voto formulado a la STC 112/2014, de 7 de julio, no nos parece justificada la asunción de funciones ejecutivas por el Estado que deriva de lo dispuesto en el art. 6.4 del Real Decreto 395/2007. Las razones de nuestra discrepancia pueden encontrarse, en primer lugar, en el Voto particular que formula la Magistrada doña Adela Asua Batarrita a la STC 88/2014, ahora aplicada en esta Sentencia, así como, en la medida en que aquí se plantean problemas similares, en los Votos particulares que formulamos a las SSTC 22/2014, de 13 de febrero, y 95/2013, de 23 de abril, los cuales, a fin de evitar repeticiones innecesarias, damos aquí por reproducidos.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