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3668-2015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3668-2015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3668-2015.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junio de 2015, acompañado del Auto de 14 de abril del mismo año, la Sección Segunda de la Sala de lo Contencioso-Administrativo del Tribunal Superior de Justicia de Canarias plantea cuestión de inconstitucionalidad. Se refiere a los apartados 1, 3 y 4 del art. 15 de la Ley canaria 6/2009, de 6 de mayo, de medidas urgentes en materia de ordenación territorial para la dinamización sectorial y la ordenación del turismo, en la redacción vigente en noviembre de 2012. Plantea la posible infracción de la garantía constitucional de la autonomía municipal (arts. 137 y 140 CE), en relación con el art. 25 y concordantes de la Ley 7/1985, de 2 de abril, de bases del régimen local (LBRL),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15 de la Ley canaria 6/2009, sobre “proyectos de sustitución, rehabilitación y reforma” —derogado por la Ley 2/2013, de 29 de mayo, de renovación y modernización turística de Canarias (disposición derogatoria única)—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planes o programas específicos de modernización, mejora e incremento de la competitividad del sector, aprobados por el Gobierno de Canarias, quedan sometidos al cumplimiento del trámite de cooperación administrativa previsto en el artículo 11 del Texto Refundido aprobado por el Decreto Legislativo 1/2000.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actuaciones particulares relativas a proyectos de sustitución, de rehabilitación de la planta alojativa o de la infraestructura turística, o a los de remodelación urbanística incluidas en los planes y programas de modernización, mejora y competitividad del sector turístico a que se refiere el apartado anterior podrán ser exceptuadas por el ayuntamiento de la licencia municipal, quedando, en este caso, sometidos al régimen de comunicación previa a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el promotor deberá comunicar al ayuntamiento el inicio de la actividad de ejecución del proyecto, con una antelación de 30 días, mediante escrito al que se acompañe una descripción suficiente de la actuación y las autorizaciones otorgadas. Dentro de ese período de 30 días, el ayuntamiento sólo podrá denegar el inicio de las actividades si la actuación proyectada no se ajusta al Plan de Modernización, Mejora y Competitividad aprobado por el Gobierno o a las autorizaciones otorgadas.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que los proyectos de sustitución, rehabilitación o mejora a que se refieren los apartados anteriores no se encuentren previstos en el planeamiento vigente, o sean contrarios a las determinaciones del mismo, el Plan o programa específico que les dé cobertura y que promueva y apruebe el Gobierno tendrá una tramitación abreviada y de fase única, en la que se dará cumplimiento a las exigencias de la evaluación ambiental estratégica, prevista en la Ley 9/2006, de 28 de abril, sobre evaluación de los efectos de determinados planes y programas en el medio ambiente, salvo que, por evidenciarse su limitada trascendencia territorial y ambiental, la Comisión de Ordenación del Territorio y Medio Ambiente de Canarias, a quien además le corresponde aprobar el informe previo a la aprobación por el Gobierno de dicho plan o programa, determine su exención en aplicación de la normativa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de que se determine la necesidad de llevar a cabo la evaluación ambiental estratégica del plan o programa, o la declaración de impacto ambiental de cualquiera de los proyectos previstos en la actuación planificada, será dicha comisión el órgano ambiental competente para la aprobación de la memoria ambiental, o la declaración de impacto ambiental,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documento de planeamiento abreviado será sometido a informe del ayuntamiento en cuyo término municipal se lleve a cabo la actuación y del cabildo insular correspondiente, y se expondrá al trámite de información pública, que, en el caso de precisarse su evaluación ambiental estratégica, contendrá el estudio de sostenibilidad, extendiéndose el plazo de información pública a cuarenta y cinco días naturales.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 o programa específico, una vez aprobado por el Gobierno, será incorporado a los instrumentos de ordenación territorial y de planeamiento urbanístico pertinentes como modificación de los mismos, en el ámbito afectado,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20 de diciembre de 2011 el Ayuntamiento de San Bartolomé de Tirajana (Las Palmas) suscribe con Gesplan —entidad pública dependiente del Gobierno de Canarias— convenio relativo a la redacción del plan de modernización, mejora e incremento de la competitividad del ámbito turístico del sur de Gran Canaria. El epígrafe IV de su parte expositiva señala: “la empresa pública del Gobierno de Canarias, Gesplan, ha recibido la encomienda por parte de aquel mediante Orden número 169 de 16 de marzo de 2011, relativa a la redacción del Plan… instrumento amparado por la Ley 6/2009 y cuyo objeto fundamental será contribuir decididamente a la recualificación de este importantísimo destino turístico de Canarias”. El epígrafe VI afirma: “para el desarrollo de los trabajos de redacción y tramitación hasta su puesta en vigor mediante la correspondiente aprobación definitiva por el Gobierno de Canarias, será fundamental desarrollar un marco de estrecha colaboración con el Ayuntamiento de la Villa de San Bartolomé de Tirajana, a los efectos de aportar al equipo redactor la información y apoyos precisos para el buen fin de los trabajos”.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Decreto 90/2012, de 22 de noviembre, aprueba el plan de modernización, mejora e incremento de la competitividad del sector turístico de San Bartolomé de Tirajana “Maspalomas Costa Canaria”. Conforme a la exposición de motivos del Decreto, el plan: “se fundamenta en el artículo 15 de la Ley 6/2009, de 6 de mayo, de medidas urgentes en materia de ordenación territorial para la dinamización sectorial y la ordenación del turismo, precepto en el cual se introduce la figura de los planes y programas específicos de modernización, mejora e incremento de la competitividad del sector, como instrumentos aptos para dar cobertura a concretos proyectos de sustitución, de rehabilitación de la planta alojativa o de la infraestructura turística, o a los de remodelación urbanística”. La finalidad del plan es, según la exposición de motivos del Decreto, “un nuevo modelo de desarrollo turístico de las urbanizaciones de Maspalomas, Playa del Inglés y San Agustín basado en dos líneas de actuación; la rehabilitación de espacio público (calles y avenidas, paseo marítimo y plazas) y la renovación de los establecimientos turísticos y de sus complementarios (comerciales y recreativos) insertos en la trama del ámbito de actuación. El presente Plan incorpora 16 propuestas en el espacio privado y la oportunidad de diseñar diversas actuaciones en espacios públicos, distribuidas entre un Sistema Verde, un Sistema de Actividad y un Sistema Costero”.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Don Ángel López Navarro, en su calidad de concejal del municipio de San Bartalomé de Tirajana, interpone recurso contencioso-administrativo contra el Decreto 90/2012, de 22 de noviembre, por el que se aprueba el plan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providencia de 17 de diciembre de 2014 de la Sección Segunda de la Sala de lo Contencioso-Administrativo del Tribunal Superior de Justicia de Canarias señala el 27 de febrero de 2015 para la votación y fallo del procedimiento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providencia de 9 de marzo de 2015 del mismo órgano judicial suspende el plazo para dictar sentencia y concede a las partes y al Ministerio Fiscal plazo para alegar sobre la conveniencia de plantear cuestión de inconstitucionalidad respecto de los apartados 1, 3 y 4 del art. 15 de la Ley 6/2009 por posible contradicción con el principio de autonomía municipal (arts. 137 y 140 CE; art. 25 y concordantes LBRL). También señala la posible infracción de los arts. 9.3 y 14 CE habida cuenta de que el precepto obvia en los planes o programas que regula los principios de equidistribución de beneficios y cargas y el procedimiento de elaboración y revisión del planeamiento.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Fiscal no se opone al planteamiento de la cuestión, precisando que no le corresponde entrar en el fondo del asunto, toda vez que ello estaría reservado al Fiscal General del Estado ex art. 37.2 de la Ley Orgánica del Tribunal Constitucional (LOTC). Don Ángel López Navarro se muestra favorable al planteamiento. El Gobierno de la Comunidad Autónoma de Canarias, el Cabildo insular de Gran Canaria y el Ayuntamiento de San Bartolomé de Tirajana se oponen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órgano judicial dicta Auto de 14 de abril de 2015 planteando la cuestión de inconstitucionalidad en relación con los apartados 1, 3 y 4 del art. 15 de la Ley canaria 6/2009, por posible infracción de la garantía constitucional de la autonomía municipal (arts. 137 y 140 CE), en relación con el art. 25 y concordantes de la Ley 7/1985, de abril, de bases del régimen local,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destaca que la tramitación, la aprobación y los contenidos del plan de modernización recurrido en el procedimiento judicial a quo se han sometido al art. 15 de la Ley 9/2009. Por tal razón, afirma, el artículo 15, sobre el que pesan las dudas de constitucionalidad, constituye el parámetro de control para resolver el recurso contencioso-administrativo. La Ley 2/2013 ha introducido un nuevo régimen para este tipo de planes a la vez que deroga el precepto cuestionado. Ahora bien, aclara, esta nueva regulación carece de aplicación retroactiva, no contiene norma alguna sobre transitoriedad y, en todo caso, es claro que en el proceso a quo habrá de aplicarse el artículo 15, pues es el manejado en la elaboración del plan impugnado. Destaca en este sentido que el proceso judicial no es un recurso directo contra reglamentos. No se está, por tanto, ante aquellos supuestos que ha aislado el Tribunal Constitucional en los que procede la inadmisión de la cuestión porque su enjuiciamiento no proyectaría resultados sobre el litigio (SSTC 147/2012, de 5 de julio, FJ 3). Señala también que es claro que la respuesta a las infracciones denunciadas por el recurrente —entre ellas, la relativa a la vulneración de la garantía constitucional de la autonomía local— exige el examen de la constitucionalidad del precepto cuestionado. Comoquiera que este ha dado cobertura a la elaboración del plan impugnado, no haría falta mayor argumentación para evidenciar que la Sentencia que lo declarase inconstitucional afectaría al resultado del proceso a quo. Insiste en que los planes de modernización no se identifican con (ni equivalen a) ninguno de los instrumentos de ordenación territorial y/o urbanística del ordenamiento canario. No puede afirmarse a priori que se trata de planes generales, parciales, especiales ni de programas de ejecución, aunque, paradójicamente, su contenido prevalezca sobre los planes generales de ordenación o territoriales. La Ley controvertida ha disciplinado estos planes al margen de toda la regulación estatal y canaria. Tal deficiencia se aprecia claramente si se compara la previsión cuestionada con la nueva regulación de la Ley 2/2013.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vulneración de la autonomía municipal, el Auto razona, citando doctrina constitucional, que la indisponibilidad de las competencias desautoriza cualquier alegato asentado sobre la idea de aquiescencia (STC 95/2014, de 12 de junio, FJ 3; SSTS de 5 de octubre y 30 de diciembre de 2005). Entrando en el fondo, considera que el precepto propicia la modificación del planteamiento elaborado y aprobado por el ayuntamiento por la sola voluntad de una instancia territorial distinta: el Gobierno de Canarias. Ello, además, afectando a toda clase de suelos, sin límite respecto de las posibles operaciones de revisión que afectan a la categorización, sistemas generales o previsiones de ejecución. A este respecto, el Auto insiste en que los nuevos planes de modernización han sido configurados al margen de los múltiples instrumentos de ordenación territorial y urbanística, ajeno a la ordenación jerárquica y sin sometimiento a las demás normas canarias. Ni siquiera se regula si puede operar sobre determinada clase de suelo, clasificar o desclasificar, modificar sistemas generales, etc. Sin embargo, de acuerdo con su memoria, el plan impugnado contempla intervenciones de toda naturaleza: establece las condiciones particulares de la edificación y prevé intervenciones en espacio público (principalmente calles, espacios libres y áreas de oportunidad) dirigidas a reinterpretar y reorientar su función. Incluye también intervenciones en espacio privado, en particular, de sustitución, renovación, rehabilitación o reforma en espacios establecimientos de alojamiento y espacios comerciales así como de implantación de dos equipamientos de ocio en suelo rústico. Esta descripción sería suficiente para descartar que las actuaciones se refieran exclusivamente a suelo urbano consolidado.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vulneración de la autonomía municipal, se afirma que los nuevos planes de modernización pueden afectar exclusivamente a parte del territorio de un municipio —como ocurre en el que es objeto del recurso—, modificando el plan general y afectando a intereses cuya gestión corresponde al ayuntamiento. Sin embargo, la participación local ha quedado limitada a un informe no vinculante con idéntico alcance que los informes de otras Administraciones o el resultado de la información pública. El Auto insiste en que la iniciativa para la aprobación del plan impugnado en modo alguno correspondió en el caso al ayuntamiento. No debe confundirse la iniciativa para la formulación y tramitación del plan, que conforme a la regulación cuestionada corresponde al Gobierno canario (sin que estuviera prevista entonces la exigencia de conformidad de los ayuntamientos que prevé ahora la Ley 2/2013) con el convenio suscrito para la redacción del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intereses supramunicipales, la invocación general del turismo como sector estratégico —que ni siquiera están en la Ley cuestionada— no sería suficiente para desapoderar a los ayuntamientos en una profusión de ámbitos (alojativo, restauración, equipamientos y actividades deportivas y culturales, medio-ambiente). La mera incidencia económica o en la creación de empleo justifica un interés social, pero no es determinante por sí del interés supramunicipal, de otro modo cualquier proyecto o plan podría ser reclamado para sí por la Comunidad Autónoma o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las demás posibles vulneraciones, el Auto razona que los planes de modernización, al no someterse a regulación legal alguna, no están sujetos a principios rectores de la planificación y ejecución que recoge la legislación urbanística, tanto la básica estatal como la canaria. La equidistribución de beneficios y cargas es uno de tales principios. Como los planes de modernización no están sometidos a él, “no podríamos enjuiciar su contenido caso de que se invoque —como así se hace en los recursos en que hablamos—”. No puede alegarse de contrario que los planes afectan exclusivamente a suelos urbanos consolidados —donde la aplicación de tal principio puede tener mayor modulación—, por cuanto que “las actuaciones de tales planes pueden afectar, y de hecho lo hace el que es objeto de recurso, a otra clase de suelo o incluso de equipamientos, sistema general viario, de ocio,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Auto, algo similar puede decirse de la ausencia de la regulación que prohíbe las denominadas “reservas de dispensación” que son una aplicación del principio de inderogabilidad singular de los reglamentos recogidas desde el art. 57.3 del texto refundido de la Ley del suelo de 1973 hasta el art. 44.1 del texto refundido de las leyes de ordenación de Canarias, y que igualmente tienen anclaje constitucional al suponer discriminación ex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afirma, en fin, que las previsiones cuestionadas vulneran también la prohibición de arbitrariedad (art. 9.3 CE) porque no regulan el contenido y los límites de los planes de modernización, lo que permitiría la modificación de cualquiera de los extremos incluidos en los planes de ordenación territorial o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cuenta con voto particular suscrito por una de las Magistradas que componen la Sala. Razona que, por mucho que se quiera apurar el criterio de interpretación flexible de la Ley Orgánica del Tribunal Constitucional, el Auto no alcanza a formular el juicio de relevancia porque no específica en qué medida la decisión del proceso depende de la validez de la norma cuya inconstitucionalidad se cuestiona. Considera que el Ayuntamiento de San Bartolomé de Tirajana tiene la iniciativa de colaboración a través de la entidad Gesplan para llevar a cabo la modernización del sector turístico, habiendo firmando al efecto el correspondiente convenio. Tal ayuntamiento es quien solicitó la intervención de la Administración autonómica, existiendo una activa participación local, tal como resulta del epígrafe IV de la parte expositiva del señalado convenio. El artículo 15.1 cuestionado prevé la intervención local a través del mecanismo de cooperación previsto en el art. 11 del Decreto Legislativo 1/2000. Sostiene que los motivos de la demanda plantean cuestiones de legalidad ordinaria que pueden resolverse sin planteamiento de la cuestión. Lo mismo cabría afirmar respecto de la supuesta inconstitucionalidad del artículo 15, apartados 1, 3 y 4, por obviar en los planes regulados los principios de equidistribución y procedimiento de elaboración y revisión del planeamiento. Los planes que se desarrollen recaen sobre suelos turísticos maduros o plenamente consolidados. Corresponderá a la jurisdicción ordinaria determinar si tales principios resultan vulnerados con relación a los supuestos específicos de ejecución de los distintos planes. En el presente caso, nadie cuestiona que el quiosco de Meloneras, el edificio de aparcamientos y Ocean Park están ubicados en suelo urbano consolidado. Por ello en nada afectaría al resultado del procedimiento declarar inconstitucional el art. 15 de la citada Ley. Se afirma, finalmente, que el Ayuntamiento de San Bartolomé de Tirajana, que es el más interesado “en estas lides”, no considera que haya sufrido la vulneración de su autonomía, por lo que también por ello no procedía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septiembre de 2015, a los efectos del art. 37.1 LOTC, la Sección Segunda de este Tribunal confiere plazo de diez días al Fiscal General del Estado para que alegue lo que considere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evacua el trámite conferido mediante escrito registrado en este Tribunal el 13 de octubre de 2015. Interesa la inadmisión de la presente cuestión tanto por incumplimiento de los presupuestos procesales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denuncia defectos en la providencia por la que se confirió audiencia en el proceso judicial a quo a las partes y al Ministerio Fiscal para que alegasen sobre la conveniencia de plantear la cuestión de inconstitucionalidad (art. 35.2 LOTC). El órgano judicial habría hecho referencia a la infracción de los arts. 9.3 y 14 CE sólo en el Auto de planteamiento, sin haberla recogido adecuadamente en la providencia inicial de audiencia; por tanto, las partes en el proceso judicial a quo no han podido alegar sobre ella, frustrándose así la finalidad del trámite previsto en el art. 35.2 LOTC. Ciertamente, afirma la Fiscal, la providencia inicial de audiencia relaciona los arts. 9.3 y 14 CE entre los preceptos posiblemente vulnerados. Sin embargo, sólo después, en el Auto de planteamiento, el órgano judicial ha aludido al concreto principio, de entre los que enuncia el art. 9.3 CE, que entiende infringido. A su vez, la providencia de audiencia conecta la infracción del art. 14 CE con el principio de equidistribución de cargas y beneficios, pero el Auto de planteamiento la extiende al régimen de “reserva de dispensación”. Como consecuencia de ello, los informes presentados, aunque aluden genéricamente a los arts. 9.3 y 14 CE, carecen de toda referencia a la interdicción de la arbitrariedad y a las reservas de dispensación.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habría de inadmitirse la cuestión por incumplimiento del juicio de relevancia. El Auto de planteamiento se habría limitado a afirmar que el recurso contencioso-administrativo denuncia la vulneración de la garantía constitucional de la autonomía municipal (arts. 137 y 140 CE) y la infracción de una serie de principios recogidos en otras leyes estatales y autonómicas. Habría añadido únicamente que la primera impugnación sólo puede resolverse despejando previamente si la previsión cuestionada vulnera la garantía constitucional de la autonomía municipal. Respecto de lo demás, el órgano judicial se habría limitado a señalar que el precepto cuestionado, al excluir la aplicación de la legislación autonómica y estatal, conduce “a la posibilidad de que se violen determinados principios de contenido constitucional que dichas normas consagran”. Según la Fiscal, de esta manera se desplaza al Tribunal Constitucional la impugnación que plantea el recurrente, que el órgano judicial parece asumir, pero sin relacionarla con la relevancia que ha de tener la presente cuestión para decidir el proceso. Respecto de las infracciones normativas denunciadas por el demandante, el Auto sólo aludiría a “una genérica contradicción con los principios constitucionales y con la posibilidad de que se vulneren en su aplicación determinados principios constitucionales”. Se estaría trasformando la resolución de las cuestiones planteadas en el pleito, cuya resolución corresponde a la jurisdicción ordinaria, en un enjuiciamiento genérico de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planteada sería, además, notoriamente infundada, según la Fiscal General del Estado. El art. 15 de la Ley 6/2009 no vulneraría la garantía constitucional de la autonomía municipal (arts. 137 y 140 CE) por tres razones. En primer lugar, la Comunidad Autónoma de Canarias tiene atribuida la competencia sobre la ordenación territorial; su ejercicio puede incidir sobre la regulación municipal de acuerdo con los arts. 2 y 25 LBRL, tal como ha declarado el Tribunal Constitucional [SSTC 61/1997, de 20 de marzo, FJ 25 b); 240/2006, de 20 de julio, FJ 10; ATC 251/2009, de 13 de octubre, FJ 3]. En segundo lugar, la regulación controvertida concierne intereses supramunicipales (la sostenibilidad ambiental y el turismo, principal motor de la economía de las Islas Canarias), tal como resulta de la exposición de motivos de la Ley 6/2009. En tercer lugar, el art. 15 de la Ley indicada no elimina la intervención municipal (cita AATC 251/2009, de 13 de octubre, y 9/2013, de 15 de enero); corresponde al ayuntamiento la emisión del informe sobre el documento de planeamiento abreviado (apartado 3), la participación en un trámite de cooperación administrativa (apartado 1) y la denegación del inicio de las actividades que no se ajusten al plan de modernización (apartado 2). El art. 15 de la Ley 6/2009, a diferencia del actualmente aplicable (art. 8 de la Ley 2/2013), no atribuye expresamente la iniciativa al ayuntamiento. No obstante, en el presente caso, el plan impugnado se ha aprobado con la participación del ayuntamiento a través de un convenio con la entidad Gesplan. El Auto de planteamiento se ha referido a ello, pero sólo bajo una perspectiva general y abstracta de indisponibilidad de la autonomía municipal, sin ponderar la participación municipal efectivamente acontecida en este caso, que ha ido más allá del informe legalmente previsto (cita el ATC 251/2009, de 13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sería también notoriamente infundada en lo que afecta al resto de las posibles vulneraciones. Los principios a los que alude el Auto de planteamiento no aparecen en el art. 15 cuestionado, pero no por ello dejan de operar a través del texto refundido de la Ley del suelo aprobado por Real Decreto Legislativo 2/2008, de 20 de junio (arts. 8.3 y 9.7), y el texto refundido de las Leyes de ordenación del territorio de Canarias y de espacios naturales de Canarias, aprobado por Decreto Legislativo 1/2000, de 8 de mayo (arts. 71 y 72). La norma cuestionada no podría derogar la legislación estatal y autonómica ni aplicarse de forma aislada y prevalente, como parece entender el órgano judicial. Ciertamente, la selección de la norma es una función genuinamente judicial, pero la interpretación del Auto de planteamiento supone una suerte de exclusión normativa contraria al régimen de distribución competencial articulada sin el procedimiento debido: cuestión de inconstitucionalidad. Frente a lo razonado en el Auto de planteamiento, la Fiscal entiende que procede una aplicación integradora conforme a la que el Decreto 90/2012 debería examinarse en el proceso judicial a quo a la luz del conjunto de la normativa estatal y autonómica y, por tanto, sin que de la sola dicción del artículo 15 cuestionado se derive la vulneración del art. 14 CE. A su vez, el Auto de planteamiento razona la vulneración de los arts. 14 y 9.3 CE como una consecuencia posible de que el artículo 15 no haya explicitado aquellos principios. Ello comporta un juicio abstracto y potencial de constitucionalidad que se articula al margen del verdadero objeto del procedimiento judicial, que es la impugnación de aspectos concretos del plan aprobado por el Decreto 90/2012. La Fiscal añade, sin entrar a cuestiones de legalidad ordinaria, que las actuaciones previstas se proyectan sobre suelo consolidado, lo que determina una mayor flexibilidad en la aplicación de los principios teóricamente vulnerados (con cita de la STC 94/2014, de 12 de junio, FFJJ 3 y 4). Destaca, en fin, que el Auto no ha ofrecido una argumentación suficiente, respecto de la proscrita interdicción de la arbitrariedad (art. 9.3 CE), con capacidad para desvirtuar la presunción de constitucionalidad de la previsión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Superior de Justicia de Canarias plantea la presente cuestión respecto de los apartados 1, 3 y 4 del art. 15 de la Ley canaria 6/2009, de 6 de mayo, de medidas urgentes en materia de ordenación territorial para la dinamización sectorial y la ordenación del turismo (en la redacción vigente en noviembre de 2012), por posible infracción de la garantía constitucional de la autonomía municipal (arts. 137 y 140 CE), en relación con el art. 25 y concordantes de la Ley 7/1985, de abril, de bases del régimen local (LBRL),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previa audiencia al Fiscal General del Estado, rechazar a limine las cuestiones de inconstitucionalidad que incumplan las condiciones procesales o sean notoriamente infundadas. Según consta en los antecedentes, en el presente asunto se ha oído a la Fiscal General del Estado, quien considera inadmisible la presente cuestión por razones de ambos tipos. Abordaremos primero los defectos de orden procesal en que ha podido incurrir el Auto de planteamiento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Fiscal General del Estado denuncia defectos en la providencia por la que el Tribunal Superior de Justicia de Canarias confirió audiencia al Ministerio Fiscal y a las partes del proceso judicial a quo para que alegasen sobre la conveniencia de plantear la cuestión de inconstitucionalidad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corresponde apreciar que la providencia de audiencia en el procedimiento judicial a quo cita explícitamente los preceptos que después se cuestionan (apartados 1, 3 y 4 del art. 15 de la Ley 6/2009) y se refiere específicamente a los motivos por los que podrían ser inconstitucionales (vulneración de principio autonomía municipal y, vinculada a la ausencia de un régimen de equidistribución, infracción de los principios de arbitrariedad e igualdad). Es verdad que, tal como destaca la Fiscal General del Estado, al mencionar el art. 9.3 CE, la providencia de audiencia no concreta el principio jurídico, de entre los múltiples que enuncia este precepto, que resultaría vulnerado en el caso; sólo después el Auto de planteamiento ha señalado específicamente que la duda de constitucionalidad se refiere a la arbitrariedad en que ha podido incurrir el art. 15 de la Ley 6/2009. No obstante, la indicada providencia, al explicar la razón por la que el artículo 15 podría vulnerar el art. 9.3 CE (por obviar en los planes regulados la obligación de que se respeten los principios de equidistribución de beneficios y cargas y el procedimiento de elaboración y revisión del planeamiento), acota suficientemente el problema constitucional planteado. La relativa indeterminación denunciada no ha frustrado en este punto la finalidad del trámite de audiencia previsto en el art. 25.2 LOTC, que es el criterio fundamental para resolver si este tipo de irregularidades formales debe conducir a la inadmisión de las cuestiones de inconstitucionalidad (por todas, STC 222/2012, de 27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en esa providencia de audiencia no aparece referencia alguna a la posible vulneración del art. 14 CE vinculada a la interpretación de que el precepto cuestionado, al disciplinar el denominado plan de modernización al margen de toda la regulación urbanística general, impediría la aplicación del régimen de “reservas de dispensación”. La indicada vulneración se produciría, no por lo establecido en el 15 de la Ley 6/2009, sino por lo que deja de establecer y ello sobre la base de la interpretación de que el legislador autonómico ha querido regular aquellos planes de modernización como un compartimento estanco, por completo aislado del resto del ordenamiento jurídico. El órgano judicial, al sugerir por vez primera en el Auto de planteamiento que esa omisión podría vulnerar el art. 14 CE, ha privado a las partes y al Ministerio Fiscal de la oportunidad de alegar al respecto en el trámite de audiencia previa, tal como ha denunciado la Fiscal General del Estado. Consecuentemente, la cuestión de inconstitucionalidad resulta inadmisible en este específico punto, por defectos en el trámite de audiencia en el procedimiento judicial a quo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Según la Fiscal General del Estado, la cuestión habría de inadmitirse en todo lo demás por incumplimiento del juicio de relevancia (apartados 1 y 2 del art. 35 LOTC). El Auto de planteamiento habría aludido sólo a una genérica contradicción del art. 15 (apartados 1, 3 y 4) de la Ley 6/2009 con los arts. 137, 140, 9.3 y 14 CE. Estaría transformando la resolución de las cuestiones concretas de legalidad ordinaria que plantea el recurso contencioso-administrativo, dirigido contra el plan de modernización aprobado por el Decreto 90/2012, en un enjuiciamiento abstracto sobre la constitucionalidad de la Ley que proporciona cobertura al indicado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ha razonado que el art. 15 de la Ley 6/2009 es aplicable en el procedimiento judicial y que de su constitucionalidad depende el fallo. Destaca que la tramitación, la aprobación y los contenidos del plan que debe enjuiciar se han sometido a ese precepto legal. Por tal razón el artículo 15, sobre el que pesan las dudas de constitucionalidad, constituye el parámetro de control para resolver el recurso contencioso-administrativo (se razona ampliamente que no resulta aplicable la nueva regulación de la Ley 2/2013). Por eso no haría falta mayor argumentación para explicar que la Sentencia que lo declarase inconstitucional afectaría al resultado del proceso a quo. Sugiere así que tal declaración conduciría a la anulación del señalado plan de modernización. Insiste en que, según el recurrente, el artículo 15 vulnera la Constitución y, en particular, la autonomía local y que tales vicios se han transmitido al plan aprobado a su amparo. El órgano judicial argumenta igualmente que la circunstancia de que el Ayuntamiento de San Bartolomé de Tirajana entienda respetada su autonomía municipal no impide considerar que la previsión cuestionada sea contraria a los arts. 137 y 140 CE. Da a entender que, si el Tribunal Constitucional declarase por ello su nulidad, el Tribunal Superior de Justicia de Canarias podría declarar la del acto de aplicación, esto es, la del plan de modernización aprobado por el Decreto 90/2012. El Tribunal Superior de Justicia de Canarias ha razonado igualmente que, a su modo de ver, la regulación autonómica de los planes de referencia es cerrada e impermeable al principio de equidistribución que recoge la legislación básica estatal. Por tal razón el plan de modernización sometido a su enjuiciamiento, pese a incluir actuaciones sobre todo tipo de suelos, no habría podido realizar la oportuna equidistribución de beneficios y cargas. El precepto cuestionado vulneraría por ello los arts. 14 y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argumentos son suficientes para entender satisfecho el juicio de relevancia, teniendo en cuenta que corresponde a este Tribunal sólo el control externo de las razones ofrecidas por el órgano judicial para sostener que el resultado del proceso a quo depende de la validez de la normativa cuestionada. No cabe sustituir, rectificar o integrar su criterio, salvo que la aplicación de principios jurídicos básicos revele que la argumentación judicial carece notoriamente de consistencia (por todas,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las consideraciones de fondo del Auto de planteamiento fueran correctas (la pretendida ausencia de intereses supramunicipales y la fuerte presencia de intereses municipales), el Tribunal Constitucional podría llegar a entender que la Ley debió asegurar una intervención municipal mayor (p. ej., que la tramitación y la aprobación debió corresponder al propio ayuntamiento). Ello condicionaría objetivamente el resultado del proceso a quo porque, tal como sugiere el Auto de planteamiento, el órgano judicial podría basarse en la anulación del precepto cuestionado que acordase este Tribunal para anular el específico acto de aplicación sometido a su enjuiciamiento. De la misma manera, una sentencia constitucional que acogiera los demás razonamientos de fondo del Tribunal Superior de Justicia de Canarias —que el precepto cuestionado, al establecer una regulación sectorial por completo aislada de la legislación general, contradice los arts. 14 y 9.3 CE— sería evidentemente relevante en el procedimiento judicial a quo. Según razona el órgano judicial, también ello podría conducir a la anulación del plan elaborado al amparo de la previsión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significa que las consideraciones de la Fiscal General del Estado son relevantes. Serán pertinentes para valorar si las dudas de constitucionalidad planteadas son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concepto de cuestión notoriamente infundada encierra un cierto grado de indefinición que se traduce procesalmente en un margen de apreciación del Tribunal Constitucional a la hora de controlar su solidez. Hay supuestos en los que un examen preliminar permite apreciar la falta de viabilidad de la cuestión suscitada. Resulta conveniente en tales casos resolver la cuestión en esta primera fase procesal, máxime si la admisión pudiera provocar efectos no deseables, como la paralización de múltiples procesos en los que resulte aplicable la norma cuestionada; esto no significa, necesariamente, que carezca de forma total y absoluta de fundamentación o que ésta sea arbitraria (por todos, ATC 133/2014, de 6 de mayo, FJ 2). En consecuencia, corresponde abordar separadamente las dudas de constitucionalidad suscitadas, por si fueran notoriamente infundadas en el sentido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15 de la Ley canaria 6/2009 regula un tipo específico de plan (o programa) destinado a la modernización, mejora e incremento de la competitividad del sector turístico. Puede incluir “proyectos de sustitución, de rehabilitación de la planta alojativa o de la infraestructura turística, o a los de remodelación urbanística” imprevistos en (o contrarios a) el planeamiento vigente (apartado 3). Tras su aprobación, que corresponde al Gobierno de Canarias (apartado 1), al plan debe incorporarse “a los instrumentos de ordenación territorial y de planeamiento urbanístico pertinentes como modificación de los mismos, en el ámbito afectado, en su caso” (apartado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no discute que la Comunidad Autónoma de Canarias tenga atribuidas competencias en materia de ordenación del territorio y urbanismo (art. 30.15 del Estatuto de Autonomía de Canarias) ni que la previsión cuestionada sea una concreta expresión de su ejercicio. Lo planteado es si la Comunidad Autónoma, al ejercer esas competencias estatutarias a través del art. 15 de la Ley 6/2009, ha podido vulnerar la garantía constitucional de la autonomía municipal (arts. 137 y 140 CE) por reducir la intervención de los ayuntamientos a un mero informe en un ámbito de fuerte interés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valorar si hay vulneración de la garantía constitucional de la autonomía municipal corresponde determinar: a) si hay intereses supralocales que justifiquen que la Comunidad Autónoma haya centralizado en su Administración la competencia para elaborar y aprobar estos planes; b) si el legislador autonómico ha ponderado los intereses municipales afectados; y c) si ha asegurado a los ayuntamientos implicados un nivel de intervención tendencialmente correlativo a la intensidad de tales intereses; todo ello sobre la base de que la Comunidad Autónoma puede ejercer en uno u otro sentido su libertad de configuración a la hora de distribuir funciones, pero garantizando el derecho de la comunidad local a participar a través de órganos propios en el gobierno y administración [STC 154/2015, de 9 de julio, FJ 5 a) y las que allí se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sector turístico encierra intereses públicos que trascienden el ámbito municipal. El turismo ha sido históricamente un pilar de la economía española. Hoy es un motor de su recuperación y, en lo que aquí más interesa, la principal industria de las Islas Canarias. Expresan los relevantes intereses supralocales implicados en esta actividad: el plan nacional e integral de turismo 2012-2015 (que pretende impulsar la competitividad de las empresas), el plan estratégico promocional del turismo en Canarias 2012-2016 (que pretende estructurar el modelo de desarrollo del turismo canario durante el periodo de referencia, orientando decisiones y conciliando los intereses de los distintos agentes) y el propio Estatuto de Autonomía de Canarias. Este atribuye a la Comunidad Autónoma competencias sobre turismo y otras materias vinculadas, como patrimonio (histórico, artístico, monumental, arquitectónico y arqueológico), cultura, deporte, espectáculos, ocio y esparcimiento (apartados 9, 20 y 21 del artículo 30). La Ley controvertida, al regular los denominados planes de modernización, responde directamente a estos intereses supramunicipales. Su exposición de motivos destaca en este sentido la necesidad de “abordar el marco en el que el turismo, principal actividad económica del archipiélago, deba desarrollarse en los próximos años, garantizando la sostenibilidad de su ocupación territorial”. Constata también “que el proceso de renovación de la planta alojativa que debe constituir el eje fundamental de la cualificación de la oferta turística canaria, junto con el equipamiento complementario ambiental territorialmente sostenible, no ha alcanzado suficiente impulso”.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igualmente evidente que los planes de modernización que regula el precepto cuestionado conciernen muy directamente a intereses municipales. El urbanismo es un ámbito de interés municipal preferente, tal como reflejan el art. 25.2 LBRL, la legislación canaria (art. 11 de la Ley 7/2015, de 1 de abril, de los municipios de Canarias) y el propio planeamiento municipal (singularmente, en este caso, el plan general de ordenación de San Bartolomé de Tirajana). De ello se ha hecho eco este Tribunal en múltiples ocasiones: “no es necesario argumentar particularmente que, entre los asuntos de interés de los Municipios y a los que por tanto se extienden sus competencias, está el urbanismo” [SSTC 40/1998, de 19 de febrero, FJ 39; 159/2001, de 5 de julio, FJ 4; 204/2002, de 31 de octubre, FJ 13; 104/2013, de 25 de abril, FJ 6, y 154/2015, FJ 5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precepto cuestionado, resulta claro que el legislador canario no ha desatendido los intereses municipales. El “documento de planteamiento abreviado” que conlleva proyectos de sustitución, rehabilitación o mejora imprevistos en (o contrarios a) el planeamiento vigente “será sometido a informe del ayuntamiento en cuyo término municipal se lleve a cabo la actuación y del cabildo insular correspondiente” (artículo 15.3). A su vez, a través de la remisión al art. 11 del texto refundido aprobado por el Decreto Legislativo 1/2000, el art. 15.1 de la Ley controvertida, prevé que “en todo caso” el Gobierno canario “consultará a los Ayuntamientos en cuyos términos municipales pretenda llevarse a cabo la actuación”, proporcionándoles “efectivamente”: “la posibilidad de exponer y hacer valer de manera suficiente y motivada las exigencias que, en orden al contenido de la actuación en curso de aprobación, resulten de los intereses públicos cuya gestión les esté encomendada”, brindando así “la ocasión de alcanzar un acuerdo sobre el contenido del mismo”. Si las “discrepancias manifestadas” no se superasen de este modo, la Administración autonómica habrá de emitir una “resolución justificativa de los motivos que han impedido alcanzar, a su juicio, una definición acordada del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atribuir al Gobierno canario la competencia para aprobar los planes de modernización, el precepto cuestionado se ha apoyado en la efectiva concurrencia de intereses supralocales sin descuidar los municipales. La cuestión queda de este modo ceñida a determinar si hay suficiente correlación entre la intensidad de los intereses municipales y la de la intervención local legalmente prevista. Esta ha de canalizarse no sólo en informes, sino también en la efectiva apertura de un diálogo que, si no concluye en un acuerdo de todas las Administraciones implicadas, obligue a la Comunidad Autónoma a explicar cumplidamente por qué ha sido imposible esta definición consensuada del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asunto, el Ayuntamiento de San Bartolomé de Tirajana ha promovido la iniciativa de elaboración y tramitación del plan mediante la suscripción de un convenio con una entidad pública dependiente del Gobierno canario. A la vista de la parte expositiva del indicado convenio, de la memoria del plan y de las alegaciones del ayuntamiento en el proceso a quo, cabe afirmar que este ha participado activamente en la elaboración del instrumento y que el Gobierno canario ha tomado su criterio en consideración. Esta observación es relevante en cuanto expresión de que el art. 15 de la Ley 6/2009 facilita una efectiva ponderación de los intereses municipales involucrados. La determinación concreta de si el plan de modernización aprobado por el Decreto 90/2012 ha asignado el peso que corresponde a aquellos intereses desborda el enjuiciamiento que incumbe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le concierne es nada más que la valoración de si el precepto cuestionado vulnera en abstracto la garantía constitucional de la autonomía municipal; sin perjuicio de que, cuando de planeamiento urbanístico se trata, los arts. 137 y 140 CE obligan directamente a las Administraciones autonómicas actuantes a realizar una ponderación suficiente de los intereses municipales. Su ausencia puede viciar los planes, pero no la norma legal que habilitó su tramitación. Así lo ha declarado este Tribunal: “Es evidente que la relevancia de esa participación dependerá en la práctica de que en el procedimiento de aprobación de la modificación del planeamiento el órgano competente para la aprobación definitiva atribuya, en el juicio de ponderación en que esencialmente consiste la decisión sobre el planeamiento, a los intereses hechos valer en el trámite de audiencia por las entidades locales, el peso y la importancia que han de corresponder a dichos intereses. Pero el control judicial de esa efectividad y relevancia de la intervención de las entidades locales no puede realizarse, como es lógico, en este juicio abstracto de constitucionalidad de la norma cuestionada, sino por la vía de la concreta impugnación ante los órganos judiciales competentes de la decisión sobre el planeamiento urbanístico que se adopte” (STC 51/2004, de 13 de abril,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154/2015, FJ 6 e) ha reafirmado esta doctrina al enjuiciar un precepto que centraliza también determinadas facultades de planificación. Permite a la Consejería competente establecerse como Administración actuante para la formulación, tramitación y aprobación de instrumentos de planeamiento en las delimitaciones de reserva de terrenos para el patrimonio autonómico de suelo): “el precepto impugnado no es contrario a la garantía constitucional de la autonomía municipal (arts. 137 y 140 CE), sin perjuicio de que la jurisdicción contencioso-administrativa podrá controlar las eventuales extralimitaciones en que incurra la Administración autonómica al ejercer las competencias urbanísticas atribuidas y, en particular, la concurrencia de intereses supralocales legitimantes, la efectiva apertura de canales de participación local durante todas las fases del planeamiento así como la asignación a la intervención local del peso correspondiente a los intereses municipales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corresponde apreciar que el art. 15 de la Ley 6/2009 es conforme a la garantía constitucional de la autonomía local, habida cuenta de que prevé una serie de mecanismos que permiten en abstracto que la Administración autonómica confeccione los planes de modernización, asignando a los intereses municipales un peso tendencialmente correspondiente a su relevancia. La potestad de planeamiento es “fuertemente discrecional” y “encierra una infinidad de decisiones que atañen al municipio exclusiva o prevalentemente” [STC 154/2015, FJ 6 c)]. Ello no impide que la justicia ordinaria pueda resolver que los concretos planes de modernización aprobados a su amparo no se ajustan a la indicada garantía constitucional, si no hubieran tenido suficientemente en cuenta las valoraciones de oportunidad en cuestiones de relevancia prevalente o exclusivamente municipal manifestadas por los ayuntamientos concernidos.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hay que estar de acuerdo con la Fiscal General del Estado cuando afirma que el órgano judicial ha transformado cuestiones concretas que pertenecen a la justicia ordinaria (relativas a la legalidad de un específico plan) en cuestiones abstractas propias de la justicia constitucional (sobre la constitucionalidad de la Ley que proporcionó cobertura a ese plan). En resumen: el precepto cuestionado no plantea un problema de garantía constitucional de la autonomía municipal. Si lo hace el Decreto 90/2012 aprobado a su amparo y, en particular, si el Gobierno autonómico ha ponderado suficientemente el criterio del Ayuntamiento de San Bartolomé de Tirajana en cuanto exponente de los intereses de la comunidad local, habrá de establecerlo el Tribunal Superior de Justicia de Canarias en el procedimiento judicial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órgano judicial considera que las previsiones cuestionadas han podido vulnerar el art. 14 CE, al interpretar que no permiten aplicar el principio general de equidistribución de cargas y beneficios. A este respecto, conviene destacar que la elaboración del plan controvertido en el proceso a quo no se ha ajustado a dicha interpretación. El plan se ha confeccionado al amparo del precepto cuestionado, pero teniendo en cuenta también como “legislación de aplicación” (pp. 9-10 de la Memoria justificativa) la normativa urbanística general, tanto la básica estatal (texto refundido de la Ley del suelo aprobado por Real Decreto Legislativo 2/2008, de 20 de junio) como la autonómica de desarrollo (texto refundido de las Leyes de ordenación del territorio de Canarias y de espacios naturales de Canarias aprobado por el Decreto Legislativo 1/2000, de 8 de mayo y el Reglamento de gestión y ejecución del sistema de planeamiento de Canarias aprobado por el Decreto 183/2004, de 21 de diciembre). La memoria justificativa cita constantemente las bases estatales, considerándolas de “obligado cumplimiento” (p. 56).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tipo de actuaciones programadas, no parece que el plan impugnado plantee problemas de equidistribución de beneficios y cargas. Regula actuaciones destinadas a revitalizar el sector turístico en las zonas por él delimitadas, que son de dos tipos: públicas y privadas. Las primeras se limitan a la intervención sobre el viario, zonas verdes y espacios libres para dotarlas de equipamientos públicos o convertirlas en sede de determinadas actividades atractivas de un turismo de calidad; todo ello no plantea problema alguno de equidistribución. Respecto de las privadas, el plan distingue dos modalidades de actuación. Unas se corresponden con actuaciones en suelo rústico que permiten acoger proyectos ya determinados. Los proyectos en suelo rústico residual no cambian la clasificación del suelo, ni implican aprovechamiento urbanístico; se trata sólo de la realización de usos en suelo no urbanizable que exigen la aprobación de un proyecto como lo exigen las huertas solares o la construcción de un almacén de recogida de los productos de la cosecha. Esto tampoco tiene que ver con la equidistribución de los beneficios y cargas derivados de la ejecución del planeamiento porque se trata de un proyecto pero no de un plan. La otra forma de intervención en ámbito privado se corresponde con una serie de actuaciones en suelo urbano que son exclusivamente de dotación. Consisten en el reconocimiento de plazas adicionales, incremento de edificabilidad y cambio de usos para favorecer la creación de establecimientos comerciales. Ninguna de las dieciséis actuaciones previstas requiere renovación integral de la urbanización. Se incluyen dentro, no de las denominadas “actuaciones de transformación urbanística”, sino de las operaciones de dotación a cuyos deberes (art. 16 del texto refundido de la Ley del suelo) se refiere específicamente la memoria (p. 167). Las actuaciones de dotación no conllevan el derecho y deber de ejecutar la urbanización en régimen de equidistribución de beneficios y cargas porque no suponen una urbanización integral; está ya hecha y no es necesario renovarla como ocurre en las actuaciones de reforma interior. Es deber de los propietarios ceder las dotaciones que son necesarias por el cambio de uso o el incremento de la edificabilidad así como la parte correspondiente del incremento del aprovechamiento lucrativo. Tampoco este tipo de actuaciones plantea pues un problema de equidistribución de beneficios y cargas.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antecedentes consideraciones cobran relevancia en la medida en que son indicativas de que el precepto cuestionado no ha excluido la aplicación de la legislación urbanística general (estatal y autonómica). Lo relevante desde la perspectiva del control abstracto en que consiste el enjuiciamiento de la constitucionalidad de las leyes es que, frente a lo razonado por el promotor de la cuestión, nada hay en el precepto impugnado que permita afirmar que los planes o programas de modernización no están sujetos a la legislación básica estatal, en general, ni al principio de equidistribución de beneficios y cargas, en particular. El art. 15 de la Ley 6/2009 no impide la aplicación de tal legislación por lo que en modo alguno puede interpretarse que haya quedado excluida.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en este caso, tal como sugieren las alegaciones de la Fiscal General del Estado, la solución del problema de si el plan de modernización aprobado por el Decreto 90/2012 incumple el principio de equidistribución de cargas y beneficios, corresponde, no a este Tribunal, sino al Superior de Justicia de Canarias. Habrá de afrontarlo al resolver el recurso contencioso-administrativo formulado en el procedimiento judicial a quo. La infracción en que pudiera eventualmente incurrir el plan en modo alguno puede redirigirse contra el precepto cuestionado. No está de más recordar que la equidistribución, esto es, el reparto igualitario de los beneficios y cargas derivados de la ejecución del planeamiento, no aspira a lograr una igualdad suprema, sino que es un intento de igualar en la medida establecida por la Ley. No hay equidistribución de beneficios y cargas entre distintas clases de suelo; tampoco tiene que haberla necesariamente entre sectores distintos de la misma clase de suelo, ni siquiera entre los propietarios afectados por el mismo plan, pero incluidos en diferentes ámbitos o unidades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pues descartar que el artículo 15 incurra en arbitrariedad por permitir que los planes de modernización desarrollen proyectos de sustitución, rehabilitación o mejora en contra de las determinaciones del planeamiento vigente (apartado 3), obligando a los municipios a incorporarlo en los instrumentos urbanísticos correspondientes (apartado 4). Este Tribunal ha descartado recientemente que incurran en inconstitucionalidad normas autonómicas similares, que también hacen valer intereses supramunicipales para centralizar en la Administración autonómica la elaboración de determinados planes con previsión de que a ellos habrá de adaptarse el planeamiento urbanístico municipal [STC 57/2015, de 18 de marzo, FJ 18, letras a) y d)]. Puede por ello excluirse también que el precepto cuestionado vulnere el principio de interdicción de la arbitrariedad (art. 9.3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3668-2015.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