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5646-2014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5646-2014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Subdelegación del Gobierno en Valencia de 11 de octubre de 2011, que impone al recurrente la sanción de expulsión del territorio nacional y prohibición de entrada durante cinco años, así como de la Sentencia de la Sección Primera de la Sala de lo Contencioso-Administrativo del Tribunal Superior de Justicia de la Comunidad Valenciana, de 23 de julio de 2014, que estima el recurso de apelación interpuesto por el Abogado del Estado contra la Sentencia del Juzgado de lo Contencioso-Administrativo núm. 5 de Valencia, de 4 de diciembre de 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Decanato de los Juzgados de Valencia el 11 de septiembre de 2014, y registrado en este Tribunal el día 19 siguiente, la Procuradora de los Tribunales doña Eugenia Merelo Fos, en nombre y representación de don Boujemaa Akabli, interpuso recurso de amparo contra la Sentencia de la Sección Primera de la Sala de lo Contencioso-Administrativo del Tribunal Superior de Justicia de la Comunidad Valenciana de 23 de julio de 2014, dictada en el recurso de apelación núm. 190-2013, interpuesto contra la Sentencia del Juzgado de lo Contencioso-Administrativo núm. 5 de Valencia de 4 de diciembre de 2012, recaída en el procedimiento abreviado núm. 723-2011.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trae causa de la resolución de la Subdelegación del Gobierno en Valencia, de 11 de octubre de 2011, que impuso al actor la sanción de expulsión del territorio nacional, con la prohibición de entrada en el mismo por un período de cinco años, en aplicación del art. 57.2 de la Ley Orgánica 4/2000, de 11 de enero, sobre derechos y deberes de los extranjeros en España y su integración social (en adelante, LOEx). Dicha resolución fue anulada por el Juzgado de lo Contencioso-Administrativo núm. 5 de Valencia, en Sentencia de 4 de diciembre de 2012, contra la cual interpuso recurso de apelación el Abogado del Estado, que fue estimado por Sentencia de la Sección Primera de la Sala de lo Contencioso-Administrativo del Tribunal Superior de Justicia de la Comunidad Valenciana, de 23 de julio de 2014, que revocó la de instancia y ratificó la resolución administrativa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se queja de la vulneración de su derecho a la tutela judicial efectiva y de su derecho de defensa por la falta de motivación y acreditación de la concurrencia de los presupuestos del art. 57.2 LOEx, por la falta de valoración de lo establecido en el art. 57.5 LOEx y por la falta de ponderación de las circunstancias personales y especiales del supuesto presente, en particular su arraigo familiar, su arraigo laboral, el tiempo de residencia en España, los vínculos creados aquí y la inexistencia de antecedentes penales en España. Asimismo denuncia la lesión del derecho a la intimidad familiar del artículo 18 CE, en relación con el artículo 39, al no haberse valorado las circunstancias de arraigo familiar que mantiene el actor en España, especialmente en cuanto a sus hijos. Finalmente, aduce la vulneración del derecho a la igualdad del art. 14 CE, porque en casos idénticos al que nos ocupa se están dictando resoluciones distintas por los Tribunales Superiores de Justicia, incluso por la misma Sala de lo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la suspensión de la ejecución de la Sentencia de apelación, así como de la resolución administrativa de expulsión, cuya ejecución le produciría perjuicios de difícil reparación que privarían al amparo de efectividad en el caso de una eventual estimación, teniendo en cuenta su situación personal, pues se vería obligado a salir del territorio nacional y abandonar el que ha sido su hogar durante más de dieciséis años, dejar a su esposa y sus tres hijos, uno de ellos recién nacido, con apenas un mes de vida, y los otros dos escolarizados. No se trata sólo del problema de la separación de su familia, sino que, además, sus hijos se encontrarían sin su padre y sin sustento económico, dado que el actor es el que mantiene principalmente a la familia, sin que, por lo demás, la adopción de la medida cautelar cause perjuicio alguno a los intereses generales o de terceros, ni a intereses constitucionalmente protegidos, derechos fundamentales o libertades públicas. Alega también que ostenta un gran arraigo social, familiar, laboral y económico en España, como se acredita con los documentos aportados con la demanda, y que aporta certificado de antecedentes penales emitido por las autoridades belgas, que acredita que el recurrente carece de antecedentes penales en Bélgica.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 de febrero de 2016 la Sección Tercera acordó admitir a trámite el recurso de amparo y dirigir atenta comunicación a la Sección Primera de la Sala de lo Contencioso-Administrativo del Tribunal Superior de Justicia de la Comunidad Valenciana a fin de que, en el plazo de diez días, remitiera certificación o fotocopia adverada de las actuaciones correspondientes al rollo de apelación núm. 190-2013. Igual comunicación se acordó dirigir al Juzgado de lo Contencioso-Administrativo núm. 5 de Valencia para que remitiera en el plazo de diez días certificación o copia adverada de las actuaciones correspondientes al procedimiento abreviado núm. 723-2011, y emplazara a quienes hubieran sido parte en el proceso del que trae causa el presente recurso de amparo, excepto la parte recurrente en amparo, para que pudieran comparecer en el procedimiento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Sección Tercera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registrado el 11 de febrero de 2016, interesó que se otorgara la suspensión solicitada. Tras exponer la doctrina de este Tribunal en relación con el art. 56 LOTC, sostuvo que en los casos de expulsión de extranjeros la efectividad de las resoluciones judiciales por las que se declara procedente la expulsión del actor, con la consiguiente salida del territorio nacional, podría convertir en ilusoria una eventual concesión del amparo, pues una vez que el ciudadano expulsado se encontrase fuera de nuestras fronteras, un fallo estimatorio de este Tribunal carecería de eficacia práctica para preservar o restaurar los derechos fundamentales invocados, en la medida en que lo que se trata de evitar con el recurso —la expulsión— ya habría tenido lugar. Y aunque una eventual concesión del amparo pudiera tener como consecuencia la posibilidad de que el recurrente regresase a España, los perjuicios de carácter personal, económico y familiar serían de imposible resarcimiento. Por lo demás, entiende el Fiscal que no parece que de la suspensión se derive una perturbación grave del interés general o de los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12 de febrero de 2016, la Procuradora doña Eugenia Merelo Fos, en representación del actor, formuló sus alegaciones, en las que, con exposición de los antecedentes del caso, reprodujo en síntesis lo alegado en la demanda acerca de la concurrencia del presupuesto de la existencia de perjuicios de difícil reparación para el recurrente en el caso de que no se accediera a la suspensión solicitada, con mención de sus circunstancias personales, familiares y laborales de arraigo, incluyendo asimismo una argumentación relativa a la apariencia de buen derecho que concurre en el presente supuesto. Concluye defendiendo que con las circunstancias acreditadas concurren, a su juicio, todos los presupuestos exigidos para la adopción de las medidas cautelares interesadas, sin que las mismas supongan un perjuicio para intereses generales o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(por todos,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expulsión de extranjeros del territorio nacional, este Tribunal ha señalado con carácter general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 AATC 66/2012, de 16 de abril, FJ 2; 116/2013, de 20 de mayo, FJ 2; y 90/2015, de 25 de mayo,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precedente al caso ahora examinado debe llevarnos, conforme solicita también el Ministerio Fiscal, a acordar la suspensión de la expulsión del territorio nacional del recurrente, atendiendo al conjunto de sus circunstancias personales, toda vez que tampoco cabe apreciar que dicha suspensión pueda originar una perturbación grave de los intereses generales ni de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Subdelegación del Gobierno en Valencia de 11 de octubre de 2011, que impone al recurrente la sanción de expulsión del territorio nacional y prohibición de entrada durante cinco años, así como de la Sentencia de la Sección Primera de la Sala de lo Contencioso-Administrativo del Tribunal Superior de Justicia de la Comunidad Valenciana, de 23 de julio de 2014, que estima el recurso de apelación interpuesto por el Abogado del Estado contra la Sentencia del Juzgado de lo Contencioso-Administrativo núm. 5 de Valencia, de 4 de diciembre de 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