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264-2015, promovido por el Gobierno Vasco contra la Ley 18/2014, de 15 de octubre, de aprobación de medidas urgentes para el crecimiento, la competitividad y la eficiencia.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enero de 2015 tuvo entrada en el Registro General de este Tribunal Constitucional el recurso de inconstitucionalidad interpuesto por la representación procesal del Gobierno Vasco contra los arts. 4, 5, 7, 92, 98, 102 y 107, apartados 2, 6, 12 y 13 y el anexo I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recurso agrupa los preceptos impugnados en dos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está formado por los arts. 4, 5, 6 y 7 y el anexo I, que tienen como objetivo imponer la obligación de un régimen de plena libertad horaria en la totalidad de los establecimientos comerciales, con independencia de la superficie que ocupen, que se encuentren situados en las denominadas zonas de gran afluencia turística. En síntesis, a este bloque de preceptos se le reprocha dos tipos de infracciones constitucionales: por un lado, una extralimitación del art. 149.1.13 CE invocado por el Estado para su dictado, con la correlativa invasión del art. 10, apartados 27 y 37, del Estatuto de Autonomía para el País Vasco (EAPV), que atribuyen competencias exclusivas en materia de comercio interior y de estadística para sus propios fines y competencias; y, por otro lado, la vulneración del art. 149.3 CE, por otorgar a la Ley 18/2014 los efectos de derecho supletorio estatal en una materia que es competencia exclusiva de la Comunidad Autónoma del País Vasco, contradiciendo la doctrina constitucional sentada en las SSTC 147/1991, de 4 de junio, FJ 7; 118/1996, de 27 de junio, FJ 6; 197/1996, de 28 de noviembre, FJ 21, y 61/1997, de 20 de marzo, FJ 12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 respecto a la primera impugnación, la entidad recurrente alega que la regulación impugnada niega a las Comunidades Autónomas cualquier margen para modular la determinación de las zonas de gran afluencia turística así como para aplicar los indicadores estadísticos en que se basan; que convierte al órgano autonómico competente en mero validador de la solicitud que le plantee el ayuntamiento respectivo para la declaración de una zonas de gran afluencia turística; y que se desplaza la capacidad de decisión del órgano autonómico competente por el simple transcurso de dos o seis meses, sin necesidad de pronunciamiento previo del órgano autonómico competente. La vulneración de la competencia autonómica en materia estadística se cifra en que una parte de la información estadística relevante para las declaraciones de zonas de gran afluencia turística —consistente en una encuesta de ocupación hotelera— se refiere a actividades —como la turística— sobre la que la Comunidad Autónoma tiene competencia exclusiva (art. 10.37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 respecto a la segunda impugnación, se aduce que las previsiones de los arts. 4, 5 y 7 de la ley y, por conexión, su anexo I se convierten de facto en una supletoriedad administrativa o ejecutiva en virtud de la cual no se cubre un vacío normativo sino de actuación administrativa, que se reemplaza por los efectos de unas disposiciones a las que se pretende otorgar los efectos del derecho supletorio contraviniendo lo dispuesto en el art. 149.3 CE. Asimismo se reprocha a la combinación de previsiones procedimentales en virtud de las cuales se obtienen las declaraciones de zonas de gran afluencia turística un entrecruzamiento entre el instituto del silencio administrativo y las reglas del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bloque de preceptos impugnados está formado por los arts. 92, 98, 102 y 107, apartados 2, 6, 12 y 13, ubicados en el capítulo I, relativo al “Sistema Nacional de Garantía Juvenil”, del título IV: una serie de medidas de política de incentivación del empleo de jóvenes que ni trabajan ni estudian ni siguen formación alguna. Estos preceptos se afirman dictados al amparo de lo establecido en los apartados 7, 13 y 17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alega, en primer lugar, que en los mencionados preceptos se contemplan diversas funciones, calificadas como “de gestión”, que exceden notoriamente las funciones constitucionalmente atribuidas al Estado, ya que se enmarcan en el ámbito de la “ejecución” de la legislación laboral, en los términos contemplados en los arts. 149.1.7 CE y 12.2 EAPV y definidos por la doctrina constitucional. Entre esas funciones de “gestión” se mencionan las de “resolver acerca de la inscripción en el fichero habilitado” (art. 98.5), la tramitación de los derechos de acceso, rectificación, cancelación y oposición por parte de las personas interesadas, en los términos establecidos en la Ley Orgánica de protección de datos (art. 102), y la puesta en práctica de la actuación de fomento consistente en la contratación de las personas incluidas en el sistema de garantía juvenil mediante una bonificación de las cuotas de la Seguridad Social (art. 107).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que debe desecharse el ejercicio de la competencia estatal que deriva del art. 149.1.13 CE. La aplicación de los aspectos arriba señalados no se encuadra, a su juicio, en esa competencia, sino en la materia laboral, en concreto en el ámbito de las acciones ejecutivas de las políticas activas de fomento del empleo en virtud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se rechaza que, para la gestión de dichas tareas, se invoque el título competencial estatal derivado del art. 149.1.17 CE, pues las bonificaciones de las cuotas sociales, a diferencia de las reducciones y de las exenciones de tales cuotas, no afectan al patrimonio de la Seguridad Social, ni tampoco a su régimen económico ni a su “caja única”, sino que son ejecución de las medidas o políticas activas de empleo contempladas en el art. 23.3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24 de marzo de 2015,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bloque de preceptos impugnados, el Abogado del Estado comienza señalando que los preceptos objeto de impugnación en materia de liberalización comercial se adecuan al título competencial estatal derivado del art. 149.1.13 CE. La legislación estatal reguladora de los horarios comerciales es una materia que se integra en el título competencial que el art. 149.1.13 CE atribuye al Estado. La libertad de horarios comerciales se encuadra conceptualmente, dentro de la realidad económica nacional, como un subsector específico al que directamente se refiere la regulación en materia de comercio interior. La atribución competencial exclusiva en los Estatutos de Autonomía de la regulación del ámbito más amplio que es el comercio interior no impide la confluencia del título estatal sobre ordenación general de la economía, el cual puede afectar a un subsector determinado: por ejemplo, la liberalización de horarios comerciales en las denominadas zonas de gran afluencia turística. Precisamente por su carácter liberalizador, el efecto de dichas normas no puede ser enervado mediante un eventual desarrollo normativo de la normativa básica, sin que ello implique un vaciamiento de las competencias autonómicas. Tratándose de una normativa básica en el doble sentido material y formal, debe ser asumida por las Comunidades Autónomas como marco de actuación en su actividad reguladora y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insiste en que se trata de adaptaciones legislativas. Los preceptos impugnados únicamente amplían el ámbito de la liberalización ya efectuada conforme a normas estatales ya enjuiciadas por anteriores sentencias constitucionales (SSTC 88/2010, de 15 de noviembre, y 26/2012, de 1 de marzo). Su sola reforma no supone una circunstancia que altere los criterios jurisprudenciales expuestos en esas sentencias. Además, no se suprime el margen de decisión de las Administraciones territoriales que intervienen en la declaración de zonas de gran afluencia turística, en su régimen previsto y en el otorgamiento de las autorizaciones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que no hay infracción del art. 149.3 CE, porque no estamos ante una norma supletoria en el sentido de dicho precepto constitucional. Las previsiones establecidas en los arts. 4, párrafos 2 y 5, y 7.1 y 2, párrafo final, consisten en un mandato compulsorio de liberalización completa de los horarios comerciales para el caso de que las Comunidades Autónomas no hubieran declarado ninguna zonas de gran afluencia turística transcurridos los plazos allí previstos: ello es una reacción eficaz de la norma básica ante una situación de incumplimiento de la obligación o, mejor dicho, del no uso de la facultad que la norma básica les otorga a las Comunidades Autónomas para efectuar dicha declaración. No hay, en definitiva, aplicación supletoria del derecho estatal integrando las lagunas del derecho autonómico, ni regulación estatal de una materia que el legislador autonómico no hubiera entrado a regular todavía, sino solo la consecuencia del carácter imperativo ínsito en una norma jurídica de derecho dictada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 que la normativa incida en la competencia autonómica sobre estadística pública en su propio ámbito, por el hecho de fijar el número de habitantes de cada localidad, pues el título competencial prevalente es el referido a la ordenación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segundo bloque de preceptos impugnados, el Abogado del Estado afirma su constitucionalidad, desde la perspectiva competencial, al encuadrarse en el art. 149.1.7 CE. Se señala que, en materia laboral, la Comunidad Autónoma únicamente es competente para la ejecución: por tanto, su potestad reglamentaria ejecutiva no puede ser considerada como una potestad reglamentaria general, sino limitada a la aprobación de los reglamentos internos que permitan la organización de los servicios que fueran necesarios para la ejecución. El art. 149.1.13 CE no impide encuadrar los preceptos impugnados de la Ley 18/2014 como aspecto propio del derecho laboral, dentro del art. 149.1.7 CE, por ser este el título competencial preponderante.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funcionamiento del sistema de garantía juvenil, es la misma legislación europea la que ha dispuesto la conveniencia de un órgano gestor único. Ello, no obstante, no altera el régimen interno de distribución competencial, pues la norma interna que se adopta se encuadra precisamente en la competencia legislativa del Estado, a quien compete, en la medida necesaria, regular la organización del registro, fichero o servicio creado y no solo el aspecto jurídico-relacional. A este respecto se invoca, en cuanto a la supraterritorialidad y las competencias del Estado, la STC 22/2014, de 13 de febrero, FFJJ 4 y 7. Otra cosa, afirma el Abogado del Estado, es que la norma estatal no agote la regulación del funcionamiento interno y deje a las Comunidades Autónomas un ámbito de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cuotas de la Seguridad Social (art. 107), se afirma que se trata de un aspecto estrictamente legislativo, como elemento esencial de la regulación propia del régimen de las cotizaciones, y no de ejecución de la legislación estatal. Asimismo se rechaza el argumento de la ordenación presupuestaria “neutra”, pues no altera el carácter normativo y básico de la norma adoptada legítimamente por el legislador estatal al amparo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rechaza la pretensión de inconstitucionalidad de los preceptos estatales basadas en que las competencias controvertidas se hallarían transferidas a la Comunidad Autónoma del País Vasco mediante el Real Decreto 1441/2010, de 5 de noviembre, de traspasos de funciones y servicios a la Comunidad Autónoma del País Vasco, pues los decretos de transferencias no son cauce normativo apto para que las Comunidades Autónomas asuman competencias (desde la STC 76/1983, de 5 de agosto, FFJJ 28-34).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 de diciembre de 2015, la representación procesal del Gobierno Vasco solicitó a este Tribunal que, previos los trámites legales oportunos, tuviera por desistida parcialmente a la parte demandante en relación con los arts. 92, 98, 102 y 107 de la Ley 18/2014, de 15 de octubre, en virtud del acuerdo alcanzado en el seno de la Comisión Bilateral de Cooperación entre la Administración General del Estado y la Administración de la Comunidad Autónoma del País Vasco (“BOE” núm. 286, de 30 de noviembre de 2015). El Abogado del Estado no se opuso al desistimiento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por Auto de 1 de marzo de 2016, acordó tener por desistido al Gobierno Vasco del recurso de inconstitucionalidad núm. 264-2015 por lo que se refiere a los arts. 92, 98, 102 y 107 de la Ley 18/2014, de 15 de octubre, de aprobación de medidas urgentes para el crecimiento, la competitividad y la eficacia, manteniéndose el recurso en cuanto a la impugnación de los arts. 4, 5, 7 y el anexo I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13 de diciembre de 2016 se acordó señalar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formulado por el Gobierno Vasco inicialmente contra los arts. 4, 5, 7, 92, 98, 102 y 107, apartados 2, 6, 12 y 13, y anexo I de la Ley 18/2014, de 15 de octubre, de aprobación de medidas urgentes para el crecimiento, la competitividad y la eficiencia. No obstante, tras haberse producido el desistimiento parcial que se refleja en los antecedentes de esta resolución, el recurso de inconstitucionalidad se mantiene únicamente contra los arts. 4, 5, 7 y el anexo I de la citada ley, ámbito que coincide con el definido en el acuerdo impugnatorio del Gobierno Vasco, el cual, según nuestra reiterada doctrina, define el ámbito del recurso de inconstitucional para el que el art. 32.2 de la Ley Orgánica del Tribunal Constitucional (LOTC) legitima a los órganos ejecutivos de las Comunidades Autónomas (por todas, SSTC 82/2013, de 11 de abril, FJ 2, y 210/2014,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Comunidad Autónoma recurrente, los arts. 4, 5, 7 y el anexo I incurren en una extralimitación del art. 149.1.13 CE y, por consiguiente, en una vulneración de las competencias exclusivas en materia de comercio interior y de estadística para sus propios fines y competencias [art. 10, apartados 27 y 37, del Estatuto de Autonomía para el País Vasco (EAPV)]; también vulneran el art. 149.3 CE, por otorgar a la Ley 18/2014 los efectos de Derecho supletorio estatal en una materia que es competencia exclusiva de la Comunidad Autónoma del País Vasco. El Abogado del Estado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18/2014, de 15 de octubre, de aprobación de medidas urgentes para el crecimiento, la competitividad y la eficiencia trae causa de la tramitación como proyecto de ley del Real Decreto-ley 8/2014, de 4 de julio, de idéntico enunciado. En nuestra reciente STC 195/2016, de 16 de noviembre, hemos resuelto el recurso de inconstitucionalidad núm. 5951-2014 interpuesto por el Consejo de Gobierno del Principado de Asturias contra los arts. 4 y 7 del mencionado Real Decreto-ley 8/2014. Ya en la propia STC 195/2016 (FJ 2) advertimos de la sustancial coincidencia entre el texto de la Ley 18/2014 y el del Decreto-ley 8/2014. Hemos de constatar, en efecto, que los arts. 4 y 7 de la Ley 18/2014, impugnados en este proceso, tienen el mismo contenido que los arts. 4 y 7 del Decreto-ley 8/2014; incluso se ha fijado un dies a quo para la eficacia de los plazos de seis y dos meses que contemplan respectivamente los arts. 4 y 5 de la Ley 18/2014 de forma que las consecuencias jurídicas previstas en esta ley se apliquen a partir del mismo día en que estaba previsto en la regulación que deroga y a la que sustituye. Así pues, en nuestro examen tendrán relevancia las conclusiones alcanzadas en la citada STC 195/2016, que a su vez se basa en pronunciamientos anteriores en materia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motivos consiste en la pretendida extralimitación del art. 149.1.13 CE, con la consiguiente vulneración de diversas competencias autonómicas exclusivas, en concreto las relativas a comercio interior y a estadística para sus propios fines y competencias (art. 10.27 y 37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de la pretendida extralimitación del art. 149.1.13 CE, con la correlativa vulneración de la competencia autonómica exclusiva en materia de comercio interior, fue también aducida en el recurso de inconstitucionalidad núm. 5951-2014 resuelto en la citada STC 195/2016. Al igual que aquí, el recurrente argumentó entonces que el Estado se había extralimitado en el ejercicio de sus competencias, por cuanto el art. 149.1.13 CE no permite vaciar de contenido una materia más específica, como son los horarios comerciales, pues la normativa básica ha de dejar un espacio normativo suficiente para que las Comunidades Autónomas puedan desarrollar sus competencias normativas y de ejecución, estableciendo una política comercial adaptada a sus peculiaridades. Dicha queja fue desestimada por la citada STC 195/2016. A la vista de esta coincidencia objetiva entre los dos recursos de inconstitucionalidad, de acuerdo con la doctrina constitucional (SSTC 172/1998, de 23 de julio, FJ 2, y 186/2016, de 3 de noviembre, FJ 2), cabe desestimar esta primera de las impugnaciones por remisión a la STC 195/2016 (FFJJ 4, 5 y 6), lo que nos exime de reproducirla, siquiera en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 la aducida extralimitación en el uso del título competencial en el que se ampara la norma estatal impugnada, ha de decaer también la consecuencia que se le atribuía, esto es, la correlativa vulneración de las competencias autonómicas exclusivas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Ciertamente, esta primera impugnación del recurso se dirige también frente al art. 5 y el anexo I de la Ley 18/2014, cuyos artículo y anexo homólogos del Real Decreto-ley 8/2014 no fueron impugnados en el recurso de inconstitucionalidad que fue resuelto por nuestra ya mencionada Sentencia. Esta mayor amplitud del objeto de impugnación, no obstante, no nos conduce a conclusiones distintas. Recordemos que la entidad recurrente no discute que el art. 149.1.13 CE ampare la regulación estatal en este ámbito: lo que plantea es que el Estado se habría excedido en la definición de las bases, negando a las Comunidades Autónomas cualquier margen para modular la determinación de las zonas de gran afluencia turística así como para aplicar los indicadores estadísticos en que se basan.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anexo I, ha sido impugnado “por conexión con el artículo 4”. Al enumerar los municipios que cumplen los criterios establecidos para la declaración de zona de gran afluencia turística, dicho anexo no hace otra cosa que completar la ordenación que contempla el artículo 4. De hecho la STC 195/2016 ya analizó la constitucionalidad del art. 4 en la medida en que dicho precepto remitía al anexo I. Así pues, procede igualmente la desestimación de acuerdo con los razonamientos expuestos en la STC 195/2016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 la razón de su impugnación ha sido, al igual que los artículos 4 y 7, la del pretendido desplazamiento del órgano competente autonómico que supondría. El artículo 5 establece que si, en el plazo de dos meses desde su entrada en vigor, las Comunidades Autónomas competentes no hubiesen declarado al menos una zona de gran afluencia turística en los municipios que reúnan los términos establecidos en una determinada norma estatal, se considerará como tal todo el término municipal y los comerciantes dispondrán de plena libertad para la apertura de sus establecimientos durante todo el año. La regulación del precepto se asemeja a la del párrafo segundo del artículo 4: también aquí se dispone una idéntica consecuencia liberalizadora directa para el supuesto de que las Comunidades Autónomas competentes no hubiesen declarado al menos una zona de gran afluencia turística en determinados municipios (los recogidos en el anexo I). Como ya señaló STC 195/2016, FJ 6, citando la STC 18/2016, de 4 de febrero, FJ 9, “regular la plena libertad horaria es una opción a disposición de la Comunidad Autónoma para el caso de que decida no ejercer las posibilidades de regulación que le ofrece la norma estatal, modulando el alcance de la declaración en el sentido de limitar territorial o temporalmente la libertad de apertura que lleva implícita la declaración de la zona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por lo que respecta a la alegada vulneración de la competencia autonómica en materia estadística, que se cifra en la utilización de información estadística estatal con respecto a actividades -como la turística- sobre la que la Comunidad Autónoma tiene competencia exclusiva (art. 10.37 EAPV), debe señalarse que la competencia autonómica se contrae a la estadística “para sus propios fines y competencias”, mientras que la competencia estadística se atribuye al Estado “para fines estatales” (art. 149.1.31 CE). Al constituir la norma estatal que ordena el subsector de los horarios comerciales ejercicio de una competencia estatal derivada del art. 149.1.13 CE, la utilización por el legislador estatal de información estadística generada en este ámbito por la Administración General del Estado no puede acarrear vulneración alguna de la competencia autonómica en materia de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impugnación consiste en la pretendida vulneración del art. 149.3 CE, en cuanto que el legislador estatal habría aprobado normas con la finalidad de crear derecho supletorio en una materia de competencia exclusiva de la Comunidad Autónoma del País Vasco. Esta segunda queja también debe descartarse con arreglo a nuestra doctrina emanada con relación a disposiciones estatales similares en materia de horarios comerciales (SSTC 18/2016, FJ 9; 119/2016, de 23 de junio, FJ 5, y 195/2016,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matizar la premisa que parece subyacer al alegato de la entidad recurrente. De acuerdo con nuestra doctrina reiterada, la calificación estatutaria como exclusiva de una competencia autonómica no impide el ejercicio de las competencias exclusivas del Estado ex art. 149.1 CE. Como recuerda la STC 195/2016 (FJ 4), aun existiendo una competencia sobre un subsector económico que una Comunidad Autónoma ha asumido como “exclusiva” en su Estatuto, esa atribución competencial no excluye la competencia estatal para establecer las bases y la coordinación de ese subsector, y el ejercicio autonómico de esta competencia exclusiva puede estar condicionado por medidas estatales, que en ejercicio de una competencia propia y diferenciada pueden desplegarse autónomamente sobre diversos campos o materias. Y en lo que concierne directamente al presente caso, la misma Sentencia señaló que la intervención estatal en la regulación de los horarios comerciales ya ha sido reconocida por nuestra doctrina por su carácter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(STC 88/2010, de 15 de noviembre, FJ 5, reiterado en la STC 26/2012, de 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tal y como argumenta el Abogado del Estado, los preceptos impugnados no contienen normas de derecho supletorio en sentido propio. El legislador estatal no ha dictado normas de derecho supletorio para colmar eventuales lagunas de regulación autonómicas. En ejercicio de su competencia, con la finalidad de liberalizar los horarios comerciales, ha dispuesto la siguiente ordenación: las Comunidades Autónomas declararán las zonas de gran afluencia turística en los municipios de su territorio; esa facultad tiene un límite mínimo definido por la norma estatal: en los municipios que cumplan determinados requisitos tendrá que declararse “al menos” una zona de gran afluencia turística; y tiene también un techo obvio, la declaración de todo el término municipal como tal zona. En otras palabras, las Comunidades Autónomas son las competentes para regular la libertad horaria ordenada por la norma estatal dentro de los dos criterios fijados por esta. Así pues, es a la Comunidad Autónoma a quien corresponde la decisión última en el marco diseñado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estamos, en modo alguno, ante una cláusula de supletoriedad, sino ante una simple consecuencia jurídica derivada de la propia y opcional inactividad autonómica. Así lo hemos declarado también en resoluciones anteriores con respecto a disposiciones similares vinculadas a la decisión autonómica de no ejercer la potestad para determinar las zonas de gran afluencia turística (SSTC 18/2016, FJ 9; 119/2016, de 23 de junio, FJ 5, y 195/2016,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rechazar el reproche relativo a un hipotético entrecruzamiento o confusión con el instituto del silencio administrativo, pues no se levanta la carga alegatoria que incumbe al recurrente de precisar de qué forma tal confusión, en caso de existir, acarrearía una vulneración de la competencia autonómica.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