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12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7357-2013, promovido por el Presidente del Gobierno contra el artículo 1 de la Ley del Parlamento de Andalucía 4/2013, de 1 de octubre, de medidas para asegurar el cumplimiento de la función social de la vivienda, por el que se da nueva redacción al artículo 1.3 de la Ley 1/2010, de 8 de marzo, reguladora del derecho a la vivienda en Andalucía y se introducen en ella los artículos 25 y 53.1 a), y contra la disposición adicional primera de la mencionada Ley 4/2013. Han comparecido y formulado alegaciones el Parlamento y el Gobierno de Andalucía.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diciembre de 2013, el Abogado del Estado, en nombre del Presidente del Gobierno, interpuso recurso de inconstitucionalidad contra el artículo 1 de la Ley del Parlamento de Andalucía 4/2013, de 1 de octubre, de medidas para asegurar el cumplimiento de la función social de la vivienda, por el que se dio nueva redacción al artículo 1.3 de la Ley 1/2010, de 8 de marzo, reguladora del derecho a la vivienda en Andalucía y se introdujeron en ella los artículos 25 y 53.1 a) y contra la disposición adicional primera de la mencionada Ley 4/2013. Los motivos del recurso,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Previamente, precisa el Abogado del Estado que el objeto del recurso es la Ley del Parlamento de Andalucía 4/2013, que trae causa del Decreto-ley de la Junta de Andalucía 6/2013, de 9 de abril, de medidas para asegurar el cumplimiento de la función social de la vivienda, que fue objeto del recurso de inconstitucionalidad núm. 4286-2013. Este decreto-ley fue derogado por la ley ahora recurrida, que reproduce su contenido en lo que respecta a la redacción de los artículos 1.3, 25 y 53.1 a) de la Ley 1/2010. En cuanto a la disposición adicional primera de la Ley 4/2013, coincide en parte con la disposición adicional segunda del Decreto-ley 6/2013, si bien amplía su ámbito subjetivo.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preceptos de la Ley 4/2013 cuestionados, se afirma que la finalidad fundamental de ésta y del Decreto-ley 6/2013 es idéntica y se centra en la regulación de la función social de la propiedad como parte inseparable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4/2013 se dicta al amparo de la competencia exclusiva de la Comunidad Autónoma de Andalucía en materia de vivienda, urbanismo y ordenación del territorio (art. 56 del Estatuto de Autonomía para Andalucía: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preceptos impugnados vulneran la competencia estatal del artículo 149.1.13 CE al incidir sobre uno de los ámbitos esenciales de la política económica del Gobierno como es la reestructuración del sistema financiero y la estabilidad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18/2011 recoge la doctrina constitucional sobre el artículo 149.1.13 CE que incluye la competencia estatal para fijar criterios globales de ordenación de sectores económicos concretos y las medidas singulares necesarias en la ordenación de cada sector. Aunque esta sentencia se refería al sector energético, sus consideraciones son trasladables al sector financiero (STC 235/1999).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crisis económica iniciada en 2008, afectó severamente a todo el sector financiero europeo y, singularmente, al español, como pusieron de relieve los informes anuales del Banco de España de los años 2008 y siguientes (transcritos en parte). El “Memorándum de entendimiento” suscrito por España y las autoridades europeas en 2012, asumía la negativa afección del sector bancario español por el estallido de la burbuja inmobiliaria y la posterior recesión económica e imponía al Estado español plazos para garantizar la reestructuración de todo el sector bancario.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adoptadas por Andalucía en los preceptos impugnados, comprometen gravemente la reestructuración mencionada. Así lo entendió la Comisión europea que remitió al Ministerio de Economía español una carta (documento 5 de la demanda) en la que expresaba, entre otros extremos, su preocupación “por la inseguridad que generan las medidas andaluzas en el sector inmobiliario e hipotecario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pieza esencial del complejo proceso de reestructuración del sector financiero español es la Sociedad de Gestión de Activos procedentes de la Reestructuración Bancaria (SAREB). Así resulta de las Leyes 8/2012, de 30 de octubre, de saneamiento y venta de los activos inmobiliarios del sector financiero y 9/2012, de 14 de noviembre, de reestructuración y resolución de entidades de crédito. Según el preámbulo de ambas leyes, una parte principal del proceso de reestructuración bancaria consistió en la transferencia, por las entidades de crédito con problemas, de sus “activos tóxicos” a la SAREB, a un “precio razonable”, para su gestión y liquidación. Por tanto, el coste para el Estado y el contribuyente del saneamiento bancario, dependerá del precio al que la SAREB sea capaz en los próximos años de vender los inmuebles adjudicados.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SAREB ha elaborado un informe sobre los impactos directos e indirectos que las medidas andaluzas impugnadas tendrán en los activos inmobiliarios por ella gestionados en Andalucía, que son aproximadamente un 12 por 100 de su cartera (documento 6 de la demanda). El informe se elaboró en relación con el Decreto-ley 6/2013 y es plenamente trasladable a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precitado informe describe el impacto sobre la SAREB de los artículos 1.3, 25 y 53.1 a) de la Ley 1/2010, que contemplan eventuales sanciones por posibles incumplimientos de requerimientos de información, configurados en términos muy amplios que, probablemente, no podrán satisfacerse por la SAREB, dado el elevado volumen de activos gestionados. Además, se imponen sanciones por no dar habitación a las viviendas durante seis meses consecutivos, con lo que la SAREB podría enfrentarse a multas por un importe global “de 57.411.000 € solo por estas infracciones graves”. A esto, se añade el posible incremento de viviendas titularidad de la SAREB en Andalucía, por el elevado número de préstamos con garantía hipotecaria en su cartera, con lo que las sanciones podrían “aumentar en 156.510.000 €” y se produciría una notable pérdida de valor de dicha cartera.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perjudicial para la SAREB el mecanismo expropiatorio de la disposición adicional segunda del Decreto-ley 6/2013 (disposición adicional primera de la Ley 4/2013), pues “ningún inversor comprará carteras de vivienda en Andalucía cuando una norma con rango de Ley permite al ulterior adquirente permanecer en ella por un plazo de hasta tres años sin satisfacer renta alguna”. Además, la Ley 4/2013, crea incertidumbre en su convivencia con la medida estatal de suspensión de los lanzamientos durante un plazo de dos años. La lectura de la Ley andaluza permite entender que, el plazo de tres años de expropiación de uso, comienza tras los dos años de suspensión, con lo que la recuperación del uso del inmueble se retrasaría en Andalucía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reitera que la Ley 4/2013 pone en riesgo una pieza clave de todo el proceso estatal de reestructuración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Específicamente, el artículo 1.3 de la Ley 1/2010, en la redacción dada por la Ley 4/2013, innova el contenido esencial del derecho de propiedad de las viviendas sitas en Andalucía al integrar en él un deber, hasta ahora inexistente, de destinar tales viviendas al uso habitacional.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artículo 53.1 CE resulta que el contenido esencial de los derechos y libertades del capítulo II del título I de la Constitución, entre los que está el derecho de propiedad, es un “límite de límites” que actúa frente al legislador y emana directamente del texto constitucional. En cuanto al contenido esencial del derecho de propiedad, a partir del artículo 33 CE, el Tribunal ha declarado que la utilidad individual y la función social lo definen inescindiblemente, de forma que “la limitación de la propiedad privada en atención a su función social, nunca puede anular el necesario espacio de utilidad privada del derecho que permita reconocer socialmente la propiedad como privada”. Las limitaciones del derecho en atención a su función social, deben respetar el test de proporcionalidad en sus tres escalones de idoneidad, necesidad y ponderación (SSTC 89/2006 y 173/2011).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 de la Ley 1/2010, redactado por la Ley 4/2013, no cumple las exigencias de necesidad ni de ponderación. Las medidas que contempla no son indispensables ya que existen otras, más moderadas, que permiten igualmente atender la situación de emergencia social que se trata de afrontar y perjudican otros bienes o valores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1.3 de la Ley 1/2010, redactado por la Ley andaluza 4/2013, vulnera además las competencias exclusivas del Estado de los apartados primero y octavo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149.1.1 CE, ya la STC 61/1997 declaró que, a su amparo, corresponde al Estado regular el contenido básico y primario del derecho de propiedad para garantizar la igualdad de todos los españoles, lo que incluye, dice el recurrente, la regulación de su función social. No puede haber funciones sociales distintas en distintas áreas del territorio nacional. El Estado ha de fijar, por lo menos, los límites infranqueables del ámbito de libertad del propietario; es decir, las limitaciones máximas que puede conllevar la función social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 una legislación específica estatal sobre la materia, por lo menos es evidente que una Comunidad Autónoma, no tiene competencia para imponer sanciones nuevas para supuestos de incumplimiento de la función social de la propiedad, respecto de las previstas en la ley estatal. El Estado podría fijar, como bases o condiciones básicas para garantizar la igualdad de todos los españoles en relación con la propiedad privada, limitaciones máximas por razón de la función social que las Comunidades Autónomas con competencias en materia de vivienda podrían luego concretar pero, sin previa regulación estatal, la Comunidad Autónoma no puede fijar esos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1.3 de la Ley 1/2010, redactado por la Ley 4/2013, al regular un deber de uso habitacional de la vivienda que es parte del contenido esencial del derecho de propiedad, invade la competencia estatal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1.3 de la Ley 1/2010 (en la redacción de la Ley 4/2013) infringe, asimismo, la competencia estatal en materia de legislación civil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la STC 37/1987, FJ 8, sobre la Ley de reforma agraria de Andalucía de 1984, el Tribunal ya negó que la propiedad privada sea una institución unitaria, exclusivamente regulada en el Código civil, y reconoció una vertiente institucional derivada de su función social a partir de la cual admitió la competencia autonómica, al amparo del título sectorial de “reforma y desarrollo del sector agrario” para legislar sobre la propiedad de la tierra y su función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presente supuesto, se invade la competencia estatal del artículo 149.1.8 CE, pues, a diferencia de lo que ocurría en la Ley de reforma agraria, la Ley 4/2013, en la redacción que da al artículo 1.3 de la Ley 1/2010, regula explícita y abiertamente el contenido esencial del derecho de propiedad de la vivienda. A la diferencia entre ambos supuestos se refiere el dictamen núm. 706/2013 del Consejo de Estado (documento 7), emitido con ocasión del recurso de inconstitucionalidad frente al Decreto-ley 6/2013, que se transcribe en parte, en el que se destaca que, en el caso enjuiciado en la STC 37/1987, a diferencia del presente, existía una legislación estatal previa sobre función social de la propiedad agraria que daba soporte a la ley autonómica. El Consejo de Estado, en dicho informe, concluye que el artículo 1.3 impugnado lesiona tanto el artículo 149.1.1 como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25 de la Ley 1/2010, redactado por la Ley 4/2013, define las viviendas deshabitadas mientras que el artículo 53.1 a) tipifica como infracción muy grave “no dar efectiva habitación a la vivienda en los términos establecidos en el artículo 25, siempre que el titular de la misma sea una persona jurídica”. Ambos artículos son inconstitucionales por conexión con el artículo 1.3 de la Ley 1/2010. Así lo entendió también el Consejo de Estado. El mismo preámbulo de la Ley 4/2013, configura la normativa sancionadora como garante del cumplimiento de los fines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destaca la asimetría que la Ley 4/2013 genera en las relaciones entre el propietario de la vivienda —persona jurídica— y sus ocupantes. Será menos gravoso para aquél asumir el impago de varias mensualidades de renta que exponerse a multas de hasta nueve mil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los artículos 25 y 53.1 a), vulneran los artículos 24.2, 25 y 149.1.18 CE. El primero, establece los criterios para definir una vivienda como deshabitada, en base a presunciones y meros indicios de distinta naturaleza, contrarios al principio de presunción de inocencia, que también rige en el procedimiento administrativo sancionador. Se invierte además la carga de la prueba en cuanto bastan dichos indicios para que sea el propietario el que debe acreditar la habitación. Se vulneran pues los principios básicos del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artículo 53.1 a) vulnera el artículo 25 CE pues, en nuestro ordenamiento, no puede establecerse una responsabilidad penal o administrativa sancionadora al margen del principio de culpabilidad. Así lo dice expresamente, en su ámbito, el artículo 130.1 de la Ley 30/1992, de régimen jurídico de las Administraciones públicas y del procedimiento administrativo común. De los artículos 25 y 53.1 a) resulta que solo se consideran infractores del deber de uso habitacional a las personas jurídicas, siendo notorio que éstas no tienen poder de disposición absoluto sobre la ocupación de sus viviendas, salvo que se les impusiera la obligación de alquilar a cualquier precio o de cederlas gratuitamente. Ello, sin embargo, vulneraría las condiciones básicas del derecho de propiedad y el derecho a una indemnización previa a toda expropiación forzosa. Si se entiende necesario disponer de un parque de viviendas para personas en riesgo de exclusión social, caben otras medidas como financiar el alquiler, intermediar en el mercado o construir o expropiar las viviendas necesarias, pero es inadmisible sancionar al propietario por no alquilar, sin acreditar que dispuso de una oferta mínimamente razonable. Además el artículo 53.1 a) es inconstitucional porque discrimina arbitrariamente a las personas jurídicas frente a las personas físicas que también pueden realizar una actividad mercantil inmobiliaria con lo que se vulneran los artículos 14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adicional primera de la Ley 4/2013 (que añade dos nuevos supuestos de hecho a los de la adicional segunda del Decreto-ley 6/2013) tiene como único sujeto pasivo a las “entidades financieras o sus filiales inmobiliarias o entidades de gestión de activos”. Se discrimina así, sin fundamento ni razón objetiva de ningún tipo, a estas entidades (incluida la SAREB), frente a otras personas jurídicas que pueden actuar en el mercado (inmobiliarias, promotores, fondos de inversión, etc.), con lo que se perjudica su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vulnera el principio de proporcionalidad exigido en la doctrina constitucional (SSTC 66/1995, 107/1996 y 147/2001). La expropiación del uso no tiene ventajas proporcionadas sobre otras alternativas posibles, como el alquiler social. Tampoco se razona que no se produzca la emergencia cuando el desahucio se insta por una persona física o por entidades no financieras. El precepto es innecesario, injustificado y desproporcionado (STC 13/2007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también es inconstitucional por menoscabar las competencias exclusivas del Estado de los apartados 1, 6, 13 y 18 del artículo 149.1 CE. Concretamente, han de tenerse en cuenta las repercusiones de la regulación sobre el mercado hipotecario con posible extensión de la normativa a otras comunidades autónomas, como ya ha ocurrido en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14 de enero de 2014, el Pleno, a propuesta de la Sección Tercera, acordó admitir a trámite el recurso de inconstitucionalidad promovido por el Presidente del Gobierno y, en su representación y defensa, por el Abogado del Estado, contra el artículo 1, por el que se da nueva redacción al artículo 1.3 y se introducen los artículos 25 y 53.1 a) en la Ley 1/2010, de 8 de marzo, reguladora del derecho a la vivienda en Andalucía y disposición adicional primera de la Ley 4/2013, de 1 de octubre, de la Comunidad Autónoma de Andalucía, de medidas para asegurar el cumplimiento de la función social de la vivienda; dar traslado de la demanda y documentos presentados, conforme al artículo 34 de la Ley Orgánica del Tribunal Constitucional (LOTC), al Congreso de los Diputados y al Senado, por conducto de sus Presidentes, así como a la Junta y al Parlamento de Andalucía, por conducto de sus Presidentes, al objeto de que, en el plazo de quince días, puedan personarse en el proceso y formular las alegaciones que estimaren convenientes. Se acordó, asimismo, tener por invocado por el Presidente del Gobierno el artículo 161.2 CE, lo que, su tenor y conforme al artículo 30 LOTC, produce la suspensión de la vigencia y aplicación de los preceptos impugnados desde la fecha de interposición del recurso (18 de diciembre de 2013) para las partes del proceso y desde el día en que aparezca publicada la suspensión en el “Boletín Oficial del Estado” para los terceros, ordenándose la comunicación de la suspensión a los Presidentes de la Junta y del Parlamento de Andalucía, así como publicar la incoación del recurso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Con fecha 24 de enero de 2014, la Letrada de la Junta de Andalucía, compareció en el proceso en la representación que legalmente ostenta para que el Tribunal tenga por personado al Gobierno de Andalucía en el recurso de inconstitucionalidad, al tiempo que solicitó una prórroga del plazo concedido para formular sus alegaciones. Igualmente, con fecha 30 de enero de 2014, se personó en el proceso la Letrada del Parlamento de Andalucía solicitando asimismo prórroga de su plazo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sendas diligencias de ordenación de 27 de enero y 3 de febrero de 2014, acordó tener por personados a las Letradas de la Junta de Andalucía y del Parlamento de Andalucía y prorrogar en ocho días el plazo en su día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en este Tribunal el 23 de enero y el 6 de febrero de 2014, respectivamente, los Presidentes del Congreso de los Diputados y del Senado comunicaron el acuerdo de la Mesa de sus respectivas Cámaras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Letrada de la Junta de Andalucía, interesando la desestimación del recurso de inconstitucionalidad, tuvo entrada en este Tribunal el día 18 de febrero de 2014. En resumen,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reproduce los motivos esgrimidos en el que se formuló contra el Decreto-ley 6/2013, de abril, ya derogado, si bien, llama la atención que, tratándose de un recurso de carácter esencialmente económico, no se aporten datos actualizados. No se aportan porque, igual que en el recurso anterior, el planteamiento es incorrecto pues afirma la inconstitucionalidad de los preceptos recurridos por sus hipotéticas consecuencias sobre el mercado financiero, partiendo siempre de la consideración de la vivienda como activo financiero, ignorando que se trata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vivienda es un derecho recogido en normas internacionales y en el artículo 47 CE, que los poderes públicos han de garantizar. La Ley andaluza 4/2013 responde a este mandato. Se adopta al amparo de la competencia autonómica en la materia (art. 56 EAAnd) por lo que no invade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exposición de motivos y documentos anexos, se explica que la Ley pretende dar respuesta a una situación de emergencia social y económica, atendiendo a los principios de subsidiariedad y proporcionalidad. Existen ya antecedentes legales en los que el Estado o una Comunidad Autónoma adoptaron medidas para la protección del derecho a una vivienda digna (Ley estatal 1/2013, de 14 de mayo, de medidas para reforzar la protección de los deudores hipotecarios, reestructuración de deuda y alquiler social y Ley catalana 18/2007, de 28 de diciembre, del derecho a la vivienda). No se ha suscitado que estas leyes afecten al proceso de reestructuración bancaria y, sobre la segunda, se llegó a un acuerdo en la comisión bilateral Estado-Generalitat, que se aporta.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Estado alega lesión del artículo 149.1.13 CE que imputa a la totalidad de los preceptos que impugna. Sin embargo, no realiza ningún esfuerzo argumental para referir esta lesión a cada uno de los artículos por lo que la alegación es general. Se vulnera así la doctrina constitucional que rechaza las controversias competenciales abstractas (STC 147/1991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afirma que las medidas autonómicas impugnadas “desplegarían una eficacia incisiva en la política económica general del Estado”, con lo que saca de contexto una afirmación de la STC 37/1987, relativa a la Ley de reforma agraria andaluza. En todo caso, el recurso no cuestiona la constitucionalidad de la Ley impugnada por alguna extralimitación competencial sino por sus efectos. Pretende que se excluya del mapa normativo cualquier norma autonómica que interaccione con las políticas económicas del Estado. Se extendería así la competencia estatal hasta el infinito en contra de la doctrina contenida, por ejemplo, en la STC 137/1989.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 dicho sería suficiente para desestimar el recurso, las afirmaciones de la demanda en relación a la afección que las medidas andaluzas tendrían sobre el proceso de reestructuración del sistema financiero español, están huérfanas de apoyatura científica o técnica. Se basan en los mismos datos del recurso contra el Decreto-ley 6/2013 y, exclusivamente, en dos documentos aportados con la demanda (documentos 5 y 6), de los que no cabe extraer tales conclusiones. El documento 5, es una mera misiva de un representante de la Comisión Europea a España, que expresa unas preocupaciones basadas en información cuyo contenido se desconoce y que posiblemente era inexacta. El documento 6 es un informe, sin firma, de la SAREB, cuyos datos no se cotejan. Este informe oculta que, aunque en torno al 12 por 100 de la cartera de viviendas de esta entidad esté en Andalucía, ello solo representa el 1 por 100 de las viviendas vacías en esa Comunidad (documento 9). Deducir así que se va a causar un daño grave a todo el proceso de reestructuración bancaria español, es un exceso. Además, a las viviendas que cita el informe de SAREB, habría que restar las protegidas pues, respecto de éstas, la Ley 4/2013, no impone obligación, ni recoge sanción alguna que no existiera ya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primera de la Ley 4/2013, la SAREB no tiene hipotecas de particulares (documento 7) por lo que será difícil que dicha disposición pueda afectarle. Se añade que son materialmente imposibles las cuantificaciones sobre posibles multas recogidas en el informe de la SAREB. En todo caso, los pretendidos daños a la SAREB afectan a intereses privados, puesto que la participación del sector público en esta entidad no es mayoritaria.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afirmaciones del Estado pugnan con las reglas de la lógica y evidencian un desacuerdo con determinadas políticas sectoriales autonómicas. No se comprende que las medidas de la Ley 4/2013 puedan alterar el sistema financiero español e incluso la prima de riesgo y, en cambio, no hayan tenido ninguna incidencia las numerosas resoluciones de jueces españoles en materia de desahucio. Tampoco medidas equivalentes, adoptadas en España y en otros países de nuestro entorno, han provocado tales efectos. Se vuelve a citar la Ley estatal 1/2013 y se menciona el ejemplo de otros países, con apoyo en el documento 11, adjunto al escrito. Tampoco produjo perjuicio alguno para el sistema financiero la aplicación del Decreto-ley 6/2013, lo que se ilustra con el informe, emitido en abril de 2012, del Colegio de Registradores de España, adjunto como documento 12. Se aportan además dos informes de expertos en la materia (documentos 1 y 2) para rebatir el informe de la SAREB, que se transcriben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recurso de inconstitucionalidad se sustenta en hipotéticas consecuencias de la aplicación de la Ley, sin prueba que las sustente, lo que está vedado a este cauce constitucional (STC 104/2000). De lo alegado y de los documentos aportados resulta que tales afirmaciones son erróneas. Es evidente que se ha de rechazar la pretendida vulneración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rechazan los motivos de inconstitucionalidad “adicionales”, referidos solo al artículo 1.3 de la Ley 1/2010, en la redacción de la Ley 4/2013, comenzando con las supuestas lesiones del artículo 33 CE y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33 CE, la doctrina constitucional (STC 37/1987) concluye la existencia de una doble dimensión en el contenido esencial del derecho de propiedad: individual como derecho subjetivo y colectivo como función social. Esta última es parte integrante del contenido esencial del derecho. Por ello, no es aceptable que desde el Estado se mantenga que la determinación de uno de los deberes que configuran la función social de la propiedad de la vivienda es una limitación externa. Al contrario, la función social de la propiedad de la vivienda, debe razonablemente integrarse por el deber de uso habitacional, en cuanto destino normalizado para hacer efectivo el artículo 47 CE (STC 89/1994).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1.3 de la Ley 1/2010, en la redacción de la Ley 4/2013, no vulnera el contenido esencial del artículo 33 CE. Lo que hace es definirlo con arreglo a su función social. Ya la normativa anterior, incluso preconstitucional, recogía los deberes del propietario como parte del contenido esencial del derecho con arreglo a su función social. Se citan la Ley 19/1975, de 2 de mayo, de reforma de la Ley sobre régimen del suelo y ordenación urbana y los posteriores textos refundidos (Real Decreto 1346/1976 y Real Decreto Legislativo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rechaza la genérica afirmación de vulneración del principio de proporcionalidad, sin que la representación del Estado descienda a explicarla. Los conceptos de “emergencia social” (que reconoce el propio Estado) y de falta de proporcionalidad de la ocupación efectiva como deber propio de la función social de la propiedad de la vivienda, son incompatibles. La medida es proporcional y razonable si se considera que Andalucía es una de las Comunidades Autónomas con mayor número de desahucios y de viviendas deshabitadas.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proporcionalidad, aplicado al contenido esencial del derecho de propiedad, implica determinar si existe equilibrio entre el derecho y su función social, pues las exigencias colectivas no pueden anular la utilidad individual del derecho (STC 37/1987). En este caso, el deber de uso habitacional de la vivienda no anula las facultades de goce y disposición del propietario.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artículo1.3 de la Ley 1/2010, redactado por la Ley 4/2013, tampoco vulnera la competencia estatal exclusiva del artículo 149.1.1 CE. El recurso confunde, en este punto, las “condiciones básicas” a que se refiere este título competencial con el “contenido esencial” del derecho del artículo 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esencial” del artículo 53 CE es una garantía constitucional en favor del individuo; no una técnica de distribución competencial (STC 61/1997). Por tanto, la delimitación del contenido esencial del derecho a la propiedad de la vivienda no es per se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“condiciones básicas” del artículo 149.1.1 CE se refieren al contenido primario del derecho; no pueden consistir en un régimen jurídico acabado y completo, ni habilitan al Estado para establecer una regulación uniforme de la propiedad privada y su función social (STC 61/1997). Dentro del respeto a las condiciones básicas de la propiedad urbana, establecidas por el Estado ex artículo 149.1.1 CE, la Comunidad Autónoma puede regular los sectores materiales de su competencia en que se inserta el derecho de propiedad, como ocurre en materia de vivienda. Entender otra cosa sería convertir el artículo 149.1.1 CE en un título horizontal, con desconocimiento de la legislación autonómica existente (Ley 7/2002, de ordenación urbanística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 las condiciones básicas de la propiedad urbana ex artículo 149.1.1 CE (que incluye el derecho a la vivienda) está en el texto refundido de la Ley del suelo (Real Decreto Legislativo 2/2008). Así lo dice su artículo 1 y la exposición de motivos. Por ello, son inexactos tanto el escrito de recurso como el dictamen del Consejo de Estado 706/2013, cuando afirman la inexistencia de previa legislación estatal amparada en el artículo 149.1.1 y 8 CE. El éxito del recurso debió, pues, procurarse mediante el estudio y confrontación de la Ley autonómica impugnada y la ley estatal de referencia, lo que no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niega, asimismo, la invasión de la competencia estatal sobre legislación civil del artículo 149.1.8 CE. Ya la STC 37/1987, cuyas consideraciones al respecto se transcriben, rechazó que el derecho de propiedad sea núcleo de la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los motivos “adicionales” de inconstitucionalidad relativos a los artículos 25 y 53.1 a) de la Ley 1/2010, en la redacción dada por la Ley 4/2013, las lesiones invocadas de los artículos 24.2, 25 y 149.1.18 CE, son genéricas y centradas en cuestiones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25 impugnado se incardina en una sección de la Ley relativa a los procedimientos para la declaración de las viviendas deshabitadas. Se trata de un procedimiento meramente declarativo (no sancionador), que no puede vulnerar los principios aplicables a los procedimientos sancionadores. Además, es un procedimiento contradictorio (pues el art. 27 contempla un trámite de alegaciones) que se remite expresamente a la Ley 30/1992, por lo que se preserva la competencia estatal del artículo 149.1.18 CE. También se respeta el principio de subsidiariedad pues si la propiedad acepta y cumple medidas de fomento (art. 36) el procedimiento se archiva.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53.1 a), no vulnera el principio de culpabilidad de los artículos 25 CE y 130 de la Ley 30/1992, por lo ya expuesto. La Ley establece aquí un sistema doblemente garantista pues al procedimiento declarativo, contradictorio y subsidiario, sigue un procedimiento sancionador con pleno respeto a todos los principios que rigen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olvidar que el concepto de vivienda deshabitada ya existe en el ordenamiento con consecuencias jurídicas (arts. 14 y 20 de la Ley 13/2005, de vivienda protegida y suelo) y que diversas normas dan distinto tratamiento, incluso a efectos fiscales, según la clase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Tampoco incurre en inconstitucionalidad la disposición adicional primera de la Ley 4/2013. Aunque el Estado afirma que el precepto invade las competencias estatales de los apartados 1, 6, 11, 13 y 18 del artículo 149.1 CE, no especifica las razones en que basa estas afirmaciones, como exige la doctrina constitucional (STC 237/2007).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único que se deduce de la demanda es una pretendida inconstitucionalidad de la disposición adicional primera por discriminar en contra a las entidades financieras, sus filiales inmobiliarias y las entidades de gestión de activos. Sin embargo, aparte de que la lesión del artículo 14 CE solo es predicable de las personas individuales, este precepto prohíbe las desigualdades artificiosas o injustificadas y, en este caso, el ámbito subjetivo de la norma es plenamente razonable (invoca al respecto, la exposición de motivos de la Ley). Además, se cumple el principio de eficacia del artículo 103 CE, pues, dentro de las personas jurídicas, las entidades bancarias son titulares de una gran bolsa de viviendas deshabitadas. También se cumple el principio de proporcionalidad, pues la medida es adecuada al fin propuesto y no existe una alternativa menos gravosa, estando acreditado (documentos 13 y 14) que el parque público de viviendas de Andalucía se encuentra optimizado.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no supone un sacrificio excesivo, pues se prevé un justiprecio y se expropia el uso temporal, no el derecho. Se respeta la competencia estatal pues, tras la Ley del Estado 1/2013, de medidas de protección a los deudores hipotecarios, solo continua la tramitación de los expedientes no afectados por dicha Ley (documento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febrero de 2014 tuvo entrada en el registro de este Tribunal escrito de la Letrada del Parlamento de Andalucía en el que resume los argumentos del recurso y solicita su íntegra desestimación con base, en síntesis, en las alegaciones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supuesta invasión de la competencia estatal del artículo 149.1.13 CE que alega el Estado no se basa en datos reales sino en meras sospechas e hipótesis sobre las consecuencias que la aplicación de los preceptos impugnados podría tener sobre la reestructuración del sector financiero. Esta sola circunstancia debe llevar a desestimar el recurso, pues la doctrina constitucional no permite reclamaciones competenciales preventivas o hipotéticas (STC 137/1989,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existe conexión entre las disposiciones impugnadas y la reestructuración del sector financiero, ni se enmarcan aquellas en el ámbito material de los títulos competenciales del artículo 149.1, apartados 11 y 13 CE, definido en la STC 235/1999. Los preceptos recurridos no persiguen la regulación de los intermediarios financieros, ni de los activos inmobiliarios en poder de la SAREB o de entidades financieras, ni se dirigen a dar líneas directrices sobre el sector bancario ni el inmobiliario. Su objetivo es hacer efectivo el derecho a disfrutar de una vivienda digna. Ésta es la materia en la que se encuadran, que es competencia de la Comunidad Autónoma de Andalucía (art. 56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4/2013, que trae causa del Decreto-ley 6/2013 (objeto del recurso de inconstitucionalidad 4286-2013), confirma que supone una profundización y avance en las políticas públicas de vivienda, con especial atención a los sectores más vulnerables. A la misma conclusión se llega analizando los preceptos impugnados, a partir de la doctrina constitucional que incluye en la materia de vivienda, de exclusiva competencia autonómica, todas las actuaciones encaminadas a definir una política propia al respecto, para facilitar el acceso a la vivienda y cumplir el mandato del artículo 47 CE (SSTC 152/1988, 36/2012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artículo 149.1.13 CE es un título horizontal que permite al Estado establecer limitaciones puntuales a la competencia autonómica en materia de vivienda, ello no puede suponer que sea competencia estatal cualquier actuación pública con repercusiones en el mercado inmobiliario, lo que conllevaría la negación misma de la competencia de las comunidades autónomas en este ámbito. La vis expansiva del artículo 149.1.13 CE, que defiende el recurrente, ha sido negada por el Tribunal Constitucional (SSTC 125/1984, 37/1987, 152/1988 y otras). Los extremos que, según la doctrina constitucional, pueden entenderse comprendidos en las bases y coordinación de la planificación económica, son solo los que tengan una incidencia significativa y directa sobre la economía general (SSTC 45/2001, 112/2013, 124/2013 y 139/2013). De esta jurisprudencia se deduce que los límites resultantes del título horizontal del Estado no suponen la imposibilidad autonómica de adoptar medidas con incidencia económica sino la necesidad de que la Comunidad Autónoma, en ejercicio de sus competencias sobre vivienda, respete los criterios globales de ordenación del sector fijados por el Estado ex artículo 149.1 13 CE que, en todo caso, han de ser puntuales y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analizar si los artículos impugnados respetan las directrices fijadas por el Estado ex artículo 149.1.13 CE en el subsector económico de la vivienda, se destaca primero que el recurso no cita ninguna disposición básica concreta vulnerada. Por tanto, a falta de norma básica estatal, Andalucía está facultada por el artículo 56 de su Estatuto de Autonomía para movilizar su parque de viviendas desocupadas a través de las medidas ahora recurridas, aunque puedan influir en el precio de venta de las viviendas. Las circunstancias citadas en la demanda, como la necesidad de superar la crisis económica o de minimizar el coste de la reestructuración bancaria, no son criterios de delimitación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preceptos recurridos no impiden la reestructuración del sector bancario, ni vulneran las disposiciones que la regulan, citadas genéricamente por el recurrente (Ley 8/2012, sobre saneamiento y venta de los activos inmobiliarios del sector financiero; Ley 9/2012, de reestructuración y resolución de entidades de crédito; Real Decreto 1559/2012, sobre régimen jurídico de las sociedades de gestión de activos). Estas son disposiciones que disciplinan la actividad bancaria, sin relación con las políticas de vivienda ni con la delimitación de la propiedad privada y el mecanismo expropiatorio regulado en las normas recurridas. Prueba de ello, se reitera, es que el recurso no cita ningún precepto de estas normas que resulte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del proceso de reestructuración bancaria regulado en las Leyes citadas no es la alegada en el recurso. No pretenden estas Leyes estatales reducir el coste de la reestructuración bancaria mediante la venta por la SAREB de sus activos inmobiliarios al mayor precio posible sino garantizar la viabilidad a largo plazo del sector financiero español en ejecución del memorando de entendimiento de 2012. Tampoco quedan acreditados los datos en que se basa el recurso con los documentos aportados, por lo que debe desestimarse esta pretensión (STC 104/2000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mayor abundamiento, las disposiciones impugnadas no tienen eficacia incisiva sobre la política económica general o la reestructuración bancaria y los datos aportados en el recurso (sobre la crisis financiera en los años 2008, 2009 y 2012) están desfasados. En concreto, el mecanismo expropiatorio recurrido no contradice la política económica estatal como lo demuestra el hecho de que, en el Decreto-ley 27/2012 y la Ley 1/2013, el Estado adoptara medidas con efectos similares. Los efectos de este mecanismo son muy limitados, pues la expropiación solo se aplica a las ejecuciones hipotecarias que cumplen los requisitos fijados. También parten de un escenario irreal los datos sobre multas que habría de pagar la SAREB a partir de la infracción tipificada en el artículo 53.1 a) de la Ley 1/2010, redactado por la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1.3 de la Ley 1/2010 (redactado por la Ley 4/2013) no vulnera el contenido esencial del derecho de propiedad del artículo 53 CE, al que no se refiere. Solo pretende delimitar el contenido del derecho de propiedad de la vivienda de acuerdo con su función social ex artículo 33.2 CE, conforme a la doctrina constitucional (SSTC 37/1987, 89/1994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al contenido del derecho de propiedad de la vivienda del deber de destinarla al uso habitacional no solo está amparada en la Constitución sino que es una exigencia de ésta (arts. 47 CE y 25 EAAnd), especialmente en un contexto en que miles de andaluces están en riesgo de exclusión social por la imposibilidad de acceder a una vivienda. El carácter instrumental de la vivienda como soporte físico del domicilio personal conlleva que el deber de uso habitacional impugnado sea también una exigencia de la Declaración universal de derechos humanos y de otros preceptos constitucionales (arts. 39, 43 CE) en relación con el artículo 10.3.14 EAAnd, que impone a los poderes autonómicos el objetivo de lograr la cohesión social y superar la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Constitucional ha reconocido la necesidad de incorporar los principios constitucionales a la definición del contenido del derecho de propiedad inmobiliaria (SSTC 37/1987 y 89/1994). El mismo legislador estatal (art. 3.1 del texto refundido Ley de suelo) admite las restricciones al derecho de propiedad conforme a su función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es trasladable a los artículos 53.1 a) y 25.6 de la Ley 1/2010, redactados por la Ley 4/2013, impugnados por el mismo motivo, cuya finalidad es garantizar el cumplimiento por las personas jurídicas del deber establecido en el artículo 1.3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Tampoco vulneran los preceptos recurridos, al establecer el deber de uso habitacional de las viviendas, el principio de proporcionalidad. Esta alegación no se fundamenta mínimamente. Dada la libertad de configuración normativa del legislador autonómico para garantizar el cumplimiento de la función social de la vivienda, la mera discrepancia con la medida es irrelevante a efectos de su proporcionalidad. El Tribunal ha reiterado (SSTC 96/2002 y otras) que el recurso de inconstitucionalidad no es sede adecuada para juzgar la bondad u oportunidad política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 de proporcionalidad, en buena técnica jurídica, exige contrastar los preceptos recurridos con el contenido esencial del derecho de propiedad, que exige el equilibrio entre su utilidad individual y su función social (STC 37/1987). Este equilibrio se respeta, pues los artículos impugnados no eliminan las facultades de decisión del propietario en relación al destino o aprovechamiento de la vivienda, imponiéndole el uso habitacional con exclusión de cualquier otro (en contra de lo que afirma el Consejo de Estado), ni le privan de su poder de disposición, lo que preserva la recognoscibilidad del derecho. Aunque el artículo 1.3 de la Ley 1/2010, restrinja las facultades de decisión del propietario, el deber de uso habitacional solo se impone cuando está expresamente previsto, según el concepto de vivienda deshabitada del artículo 25.1; cuando el uso residencial esté contemplado en el planeamiento urbanístico y la edificación tenga las correspondientes licencias. Incluso en estos casos, no se impiden otros posibles usos de las viviendas, pues el artículo 25.4 excluye del ámbito de aplicación una serie de edificaciones.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4/2013 solo limita la facultad del propietario de mantener la vivienda desocupada o sin uso. Preserva sus facultades de goce y disposición, incluso en casos de incumplimiento del deber de uso habitacional (aunque, para las personas jurídicas, se establezcan sanciones que no son confiscatorias y que, en todo caso, son subsidiarias). Por tanto, no se desnaturaliza el derecho de propiedad del artículo 33 CE en el sentido de la doctrina constitucional (STC 204/2004).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artículos 1.3, 25.6 y 53.1 a) de la Ley 1/2010 tampoco invaden la competencia estatal sobre legislación civil (art. 149.1.8 CE). La alegación parte de afirmar, como en el apartado anterior, que estos preceptos regulan el contenido esencial del derecho de propiedad, lo que ya se ha rechazado. Se reitera que la regulación impugnada se limita a delimitar el contenido del derecho de propiedad de la vivienda de acuerdo con su función social. Es aplicable la doctrina de la STC 37/1987 (FFJJ 8 y 9), reiterada en la STC 227/1988, según la cual la delimitación del contenido de la propiedad privada de acuerdo con su función social se fija por las leyes sectoriales en el ámbito material correspondiente, que en este caso es de competencia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argumentos del recurso sobre la supuesta lesión del artículo 149.1.1 CE llevan a la negación misma de la competencia exclusiva de Andalucía en materia de vivienda y chocan frontalmente con la configuración constitucional de la propiedad privada y la doctrina constitucional. Para rebatirlos, basta acudir a las SSTC 37/1987 y 61/1997 que, como se ha dicho, atribuyen a quien tiene las competencias sectoriales la regulación de las limitaciones y deberes inherentes a la función social de cada tipo de propiedad, a lo que se añade que la potestad sancionadora es instrumental de la competencia material sustantiva (STC 34/2013).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con base en el artículo 149.1.1 CE, el Estado puede limitar las competencias autonómicas en materia de vivienda, esas limitaciones no son las que expone el recurso. Este título no puede utilizarse para regular la función social de la propiedad en los distintos ámbitos de la realidad social que se proyectan sobre el contenido de este derecho; ni faculta al Estado para establecer una regulación uniforme del derecho de propiedad (STC 61/1997). Según esta doctrina, aunque el Estado tenga competencia para dictar las condiciones básicas que garanticen la igualdad, el régimen jurídico del derecho de propiedad ha de ser establecido por el legislador competente según el orden constitucional (en este caso, el autonómico), sin perjuicio del necesario respeto a las condiciones básicas, siempre que hayan sido fijadas por el Estado. Si, como ocurre ahora, el Estado no las ha establecido, la consecuencia no puede ser la exclusión de la competencia autonómica sino la ampliación del margen de configuración normativa del legislador autonómico. Ya la STC 37/1987 admitió que la función social de la propiedad puede variar en función de las características de los bienes, su localización y las condiciones económicas o sociales de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Los artículos 25 y 53.1 a) de la Ley 1/2010 (en la redacción de la Ley 4/2013) no vulneran los artículos 14, 25 y 149.1.18 CE como esgrime el recurrente. Cuando el artículo 53.1 a) tipifica como infracción el incumplimiento del deber de uso habitacional por los propietarios personas jurídicas remitiéndose a los supuestos, enumerados en el artículo 25, en que se presume que las viviendas están deshabitadas, se limita a definir una infracción administrativa, predeterminando con el suficiente grado de certeza la conducta sancionable. Se da así cumplimiento a los principios de legalidad y tipicidad del artículo 25 CE y no se vulnera la presunción de inocencia cuyo ámbito (STC 76/1990) no es la definición del ilícito administrativo sino el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procedimiento sancionador articulado en la ley recurrida no hay una inversión de la carga de la prueba, ni resulta esta de los preceptos impugnados que se han de interpretar conjuntamente con el resto de la Ley 1/2010, de cuyos artículos no impugnados resulta que el ejercicio de la potestad sancionadora va precedido de la declaración de vivienda deshabitada, tras la instrucción de un procedimiento contradictorio en cuyo acuerdo de iniciación la Administración ha de especificar los indicios de no habitación (art. 35 de la Ley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empleo por el artículo 25 de la Ley 1/2010 de indicios o presunciones para acotar el concepto de vivienda deshabitada no vulnera la presunción de inocencia. La prueba de presunciones es válida en derecho y se admite por la doctrina constitucional siempre que exista un engarce racional entre los hechos acreditados y los presumidos (STC 76/1990), lo que el recurso no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Para fundar la alegada vulneración del principio de culpabilidad, el recurso se limita a afirmar que las personas jurídicas no tienen un poder de disposición absoluto sobre la ocupación de sus viviendas. Sin embargo, el artículo 53.1 a) recurrido no establece un sistema de responsabilidad objetiva. El principio de culpabilidad, como principio estructural del derecho punitivo, se aplica aunque la tipificación de las infracciones no aluda al elemento culposo (STC 76/1990). La Ley 30/1992, básica estatal, ya establece esta exigencia, que resulta también del artículo 54 de la Ley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artículo 53.1 a) no discrimina a las personas jurídicas ni lesiona los artículos 14 y 9.3 CE. La argumentación del recurso en este punto es escasa. En todo caso, el principio de igualdad permite introducir diferencias entre supuestos de hecho potencialmente equiparables si existe una justificación objetiva y razonable (SSTC 59/2008 y 76/2008). En este supuesto existe la justificación objetiva pues el fin de la Ley 4/2013, como resulta de su exposición de motivos, es la puesta en el mercado del gran parque de viviendas vacías que existe en Andalucía para potenciar el acceso a la vivienda, para lo que, al centrarse en las personas jurídicas, la Ley tiene en cuenta que las grandes bolsas de viviendas vacías están en poder de éstas y no de las personas físicas. La infracción del artículo 53.1 a) de la Ley pretende garantizar esta finalidad y, por tanto, que las personas jurídicas cumplan el deber de sacar a la venta o arrendar sus viviendas mientras que, en el caso de las personas físicas, se utilizan instrumentos menos restrictivos, como las medidas de fomento del alquiler (art. 36) que se circunscriben a estas últimas dada la limitación de recursos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proporcionalidad y racionalidad de la medida se aprecia igualmente en la escasa entidad de la sanción prevista y en que la potestad sancionadora solo se ejerce en el marco de los planes de inspección (art. 27), de forma que la infracción del artículo 53.1 a) solo se sancionará en los casos de los artículos 50 y 51, es decir, cuando el cumplimiento de la función social de la vivienda resulte necesario para garantizar la efectividad del derecho del artículo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disposición adicional primera de la Ley 4/2013, en contra de lo que afirma el recurso, no discrimina sin fundamento a las entidades financieras y sus filiales inmobiliarias o entidades de gestión de activos frente a otras personas jurídicas. La expropiación contemplada en esta disposición no responde al concepto de expropiación-sanción de la Ley de expropiación forzosa, ni es una delimitación del contenido del derecho de propiedad de acuerdo con su función social que deba ser aplicada por igual a todos los propietarios. Es un supuesto de expropiación forzosa por causa de interés social del artículo 33 CE. Así lo reconoce el dictamen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ni el artículo 14 CE ni ningún otro precepto constitucional, impiden que el legislador determine que el derecho de uso expropiado sea el que recae sobre la vivienda del deudor desahuciado, cuando es adquirida por el acreedor hipotecario o sus filiales al ejecutar su derecho de garantía, que es lo que hace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artículo 33 CE, lo que caracteriza a la expropiación forzosa, frente a las limitaciones del dominio por causa de su función social que se aplican a todos por igual, es precisamente la quiebra del principio de igualdad, pues la expropiación implica por definición una privación singular del derecho. Así lo ha entendido el Tribunal (STC 204/2004).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medida no es desproporcionada ni arbitraria dado el fin perseguido con ella que es evitar el desahucio de sus viviendas habituales de las personas que pierden su propiedad por falta de medios económicos para hacer frente a sus hipotecas.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alegación de vulneración de los apartados sexto, undécimo, decimotercero, decimoctavo y primero del artículo 149.1 CE que realiza el recurso en este punto, su nula fundamentación imposibilita la contestación a la misma y debiera determinar su desestimación según la doctrina constitucional (STC 118/1998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repercusiones de esta medida sobre el sector inmobiliario, se dan por reproducidas las alegaciones anteriores al respecto. Sobre las dificultades que la medida supone para la ejecución hipotecaria, ni siquiera se mencionan y, en todo caso, la misma no incide sobre el procedimiento de ejecución hipotecaria ni sobre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 Estando próximo a finalizar el plazo de cinco meses que señala el artículo 161.2 CE desde que se produjo la suspensión de los preceptos impugnados, mediante providencia de 27 de febrero de 2014, el Pleno del Tribunal acordó dar traslado a las partes personadas, por cinco días, para alegaciones sobre la conveniencia de mantener o levantar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Evacuados los traslados conferidos, mediante ATC 115/2014, de 8 de abril, el Pleno del Tribunal acordó mantener la suspensión del artículo 1 y de la disposición adicional primera de la Ley 4/2013, de 1 de octubre, de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solicitarse por la Junta de Andalucía, en noviembre de 2014, el levantamiento de la suspensión acordada en el ATC 115/2014, por cambio de las circunstancias, oídas las partes, el Pleno del Tribunal, mediante ATC 32/2015, de 17 de febrero, acordó su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abril de 2018, se señaló para deliberación y votación de la presente Sentencia el día 12 de ese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el Presidente del Gobierno contra el artículo 1 de la Ley del Parlamento de Andalucía 4/2013, de 1 de octubre, de medidas para asegurar el cumplimiento de la función social de la vivienda (Ley 4/2013), por el que se dio nueva redacción al artículo 1.3 y se introdujeron los artículos 25 y 53.1.a) en la Ley 1/2010, de 8 de marzo, reguladora del derecho a la vivienda en Andalucía (Ley 1/2010) y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del Estado recurrente, en los términos ya indicados, esgrime distintos motivos de inconstitucionalidad que cabe ahora agrupar como sigue. En general, considera que todos los preceptos impugnados de la Ley 4/2013 y, en concreto, la disposición adicional primera, vulneran la competencia estatal del artículo 149.1.13 CE, en cuanto inciden sobre la política económica del Gobierno para la reestructuración y estabilidad del sistema financiero. En particular, afirma que el deber de uso habitacional de las viviendas como parte del contenido esencial del derecho de propiedad de éstas, regulado en el artículo 1.3 de la Ley 1/2010, modificado por la Ley 4/2013 y, por conexión en los artículos 25 y 53.1 a), es desproporcionado e invade las competencias estatales del artículo 149.1.1 y 8 CE, en relación con el artículo 33 CE. En cuanto a la consecuencia sancionadora que se asocia al incumplimiento de dicho deber por las personas jurídicas, entiende que vulnera los artículos 24 y 25 CE, al tipificarse como infracción el incumplimiento del deber de uso habitacional en base a meros indicios y sin culpabilidad, así como los artículos 14 y 9.3 CE, en los términos ya señalados. Finalmente, considera también arbitraria la disposición adicional primera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Letradas del Gobierno y del Parlamento andaluces, por su parte, del modo que consta en los antecedentes, se oponen a los motivos impugnatorios que sustentan el recurso a partir de la competencia exclusiva autonómica en materia de vivienda (art. 56 del Estatuto de Autonomía para Andalucía: EAAnd). En consecuencia, solicitan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del asunto, interesa hacer ciertas precisiones sobre la incidencia en el presente recurso de algunas modificaciones legislativas posteriores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si bien la Ley 3/2016, de 9 de junio, para la protección de los derechos de las personas consumidoras y usuarias en la contratación de préstamos y créditos hipotecarios sobre la vivienda, de la Comunidad Autónoma de Andalucía, ha añadido una disposición adicional séptima a la Ley 1/2010, en virtud de la cual se crea el sistema andaluz de información y asesoramiento integral en materia de desahucios, como instrumento de información y asesoramiento, dicha disposición no afecta a ninguno de los preceptos impugnados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hemos de referirnos a los cambios en la normativa estatal invocada por el recurrente para fundar la invasión competencial que afirma en relación con el artículo 149.1.13 CE, por supuesta interferencia de los preceptos impugnados sobre la política económica del Gobierno en relación con la reestructuración del sistema financiero y la estabilidad de las entidades de crédito. La demanda se refiere particularmente, en el sentido apuntado, a la regulación estatal de la sociedad de gestión de activos procedentes de entidades de crédito sujetas a procesos de reestructuración (SAREB) contenida en las Leyes 8/2012, de 30 de octubre, de saneamiento y venta de los activos inmobiliarios del sector financiero, y 9/2012, de 14 de noviembre, de reestructuración y resolución de entidades de crédito, en concreto, en todo lo relativo al traspaso a dicha entidad de los activos problemáticos de los bancos vinculados a su actividad inmobiliaria como medida de saneamiento del sector. Alude también, si bien de forma genérica, a las medidas estatales que prevén la suspensión de lanzamientos durante un plazo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de acuerdo con la doctrina constitucional acerca del ius superveniens en los recursos de inconstitucionalidad (STC 5/2015, de 22 de enero, citada en la STC 16/2018, de 22 de febrero, FJ 2), la normativa estatal que tendremos presente en relación con la esgrimida lesión del artículo 149.1.13 CE, en lugar de la citada Ley 9/2012, será la Ley 11/2015, de 18 de junio, de recuperación y resolución de entidades de crédito y empresas de servicios de inversión, que derogó a la anterior, si bien precisando que dicha derogación no afectó, entre otras, a la disposición adicional séptima de la Ley 9/2012, de creación de la SAREB. También se tendrá en cuenta, en la medida que sea necesario, que el apartado 10 c) de dicha disposición adicional séptima fue modificado por el artículo 2 del Real Decreto-ley 4/2016, de 2 de diciembre, de medidas urgentes en materia financiera. Asimismo, en relación con las medidas estatales de suspensión de lanzamientos a las que alude la demanda, habremos de estar al artículo 1 de la Ley 1/2013, de 14 de mayo, de medidas para reforzar la protección a los deudores hipotecarios, reestructuración de deuda y alquiler social, modificada en parte por el Real Decreto-ley 1/2015, de 27 de febrero, de mecanismo de segunda oportunidad, reducción de carga financiera y otras medidas de orden social (convertido después en la Ley 25/2015, de 28 de julio) y, últimamente, en particular su artículo 1, por el Real Decreto-ley 5/2017,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también necesario hacer ciertas consideraciones preliminares sobre la incidencia que en este recurso tiene la STC 93/2015, de 14 de mayo. En ésta, resolvimos la impugnación del Decreto-ley de la Junta de Andalucía 6/2013, de 9 de abril, que constituye el precedente de la Ley 4/2013, ahora enjuiciada. En concreto, la Ley 4/2013 derogó el citado Decreto-ley, al tiempo que sustituyó sus preceptos por otros que, como ya se apuntaba en la citada STC 93/2015 (FJ 2): “o bien son idénticos en su redacción y en su numeración [artículos 1.3, 25 y 53.1 a)] o bien han cambiado de un modo intranscendente al efecto de la controversia competencial suscitada en el recurso”. También explicamos en este mismo fundamento jurídico que “la disposición adicional segunda pasa a ser en la Ley 4/2013 la disposición adicional primera, pero solo cambia para definir de un modo más amplio el interés social que justifica la expropiación del uso de la vivienda objeto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93/2015, declaramos la inconstitucionalidad del primer inciso del artículo 1.3 (“forma parte del contenido esencial del derecho de propiedad de la vivienda el deber de destinar de forma efectiva el bien al uso habitacional previsto por el ordenamiento jurídico”); de los apartados quinto y sexto del artículo 25 y del artículo 53.1 a) de la Ley 1/2010, de 8 de marzo, reguladora del derecho a la vivienda en Andalucía, en la redacción aprobada por el artículo 1 del Decreto-ley 6/2013, de 9 de abril, de medidas para asegurar el cumplimiento de la función social de la vivienda; así como la inconstitucionalidad y nulidad de la disposición adicional segunda de dicho Decreto-ley 6/2013. En la misma sentencia declaramos la conformidad con la Constitución del resto del artículo 25 de la Ley 1/2010, en la redacción dada por el artículo 1 del Decreto-ley 6/2013, interpretado como instrumento de la política autonómica de fomento de la vivienda en alquiler, en los términos de los fundamentos jurídicos 13 a 15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todos los preceptos anulados por la STC 93/2015 lo fueron por la misma razón. Así, si los artículos 1.3; 25, apartados quinto y sexto; y 53.1 a) de la Ley 1/2010, redactados por el Decreto-ley 6/2013, fueron declarados inconstitucionales en dicha sentencia, fue porque este Tribunal consideró que, al darles nueva redacción en el Decreto-ley citado, el Gobierno andaluz excedió los límites materiales de las normas de esta naturaleza, puesto que introdujo un deber de uso habitacional como parte del contenido esencial del derecho de propiedad sobre la vivienda, que no es posible establecer mediante una disposición legislativa de urgencia. Por esta razón, la STC 93/2015 no entró a examinar, en cuanto a estos preceptos, las vulneraciones competenciales y de otra índole que alegaba el recurrente y que coinciden con las esgrimidas ahora en relación con la Ley 4/2013. En cambio, la declaración de inconstitucionalidad de la disposición adicional segunda del Decreto-ley 6/2013 tuvo lugar en cuanto que la STC 93/2015 apreció en la misma una invasión de la competencia estatal del artículo 149.1.13 CE en materia de ordenación económica, muy similar a la que ahora se esgrime en relación con la disposición adicional primera de la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es que la STC 93/2015 no puede servirnos de base para resolver el presente recurso, en lo que respecta a los artículos 1.3; 25, apartados quinto y sexto y 53.1 a) de la Ley 1/2010, modificados por la Ley 4/2013. Evidentemente, esta última, al ser una ley formal, no puede incurrir en el vicio de inconstitucionalidad que allí apreciamos. En cambio, cabe ya anticipar que la STC 93/2015 será determinante de la decisión que adoptaremos sobre la disposición adicional primera de la Ley 4/2013, extremo este sobre el que volveremos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Adicionalmente a lo expuesto en el anterior fundamento jurídico, hemos de tener asimismo muy en cuenta, al resolver el presente debate, la reciente STC 16/2018, de 22 de febrero, dictada en el recurso de inconstitucionalidad 6036-2013, en relación con varios preceptos de la Ley Foral 10/2010, de 10 de mayo, del derecho a la vivienda de Navarra, en redacción dada a los mismos por la Ley Foral 24/2013, de 2 de julio, de medidas urgentes para garantizar el derecho a la vivienda de Navarra. La STC 16/2018 es relevante en cuanto que los preceptos de la ley navarra en ella enjuiciados son muy similares a los que ahora nos ocupan, al igual que eran también muy parecidos los argumentos que en aquel recurso esgrimió el Presidente del Gobierno, que también allí era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16/2018 hemos declarado inconstitucionales los apartados primero y segundo de la disposición adicional décima de la Ley Foral 10/2010, de derecho a la vivienda en Navarra, añadida por la Ley Foral 24/2013, y hemos desestimado el recurso en todo lo demás. Esta sentencia se basa a su vez, en lo que a la disposición adicional décima anulada en parte respecta, en la precitada STC 93/2015, dada la similitud entre dicha disposición y la andaluza introducida por el Decreto-ley 6/2013 y, por tanto, entre la disposición navarra y la andaluza introducida en la Ley 4/2013 que es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todo lo dicho podemos ya abordar los distintos motivos de impugnación esgrimidos frente a los preceptos recurridos de la Ley andaluza 4/2013, lo que haremos siguiendo el orden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el análisis por la disposición adicional primera de la Ley 4/2013, como ya se ha adelantado, en su enjuiciamiento hemos necesariamente de partir de la STC 93/2015, en la que declaramos la inconstitucionalidad de la anterior disposición adicional segunda del Decreto-ley 6/2013, prácticamente idéntica a la que ahora analizamos, por menoscabo de las medidas de política económica adoptadas por el Estado ex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aquella sentencia razonamos que la medida autonómica (recogida ahora en la disposición adicional primera de la Ley 4/2013), consistente en la expropiación del uso de la vivienda objeto de un procedimiento de ejecución, por un plazo máximo de tres años a contar desde el lanzamiento acordado por el órgano judicial, difiere sustancialmente y resulta incompatible con las medidas adoptadas por el Estado (en ejercicio de su competencia ex artículo 149.1.13 CE y con incidencia significativa sobre la actividad económica general) para atender a las mismas necesidades. Estas medidas eran las inicialmente incluidas en la Ley 1/2013, de 14 de mayo, de medidas para reforzar la protección de los deudores hipotecarios, reestructuración de deuda y alquiler social, luego modificada en parte por el Real Decreto-ley 1/2015, de 27 de febrero, de mecanismo de segunda oportunidad, reducción de carga financiera y otras medidas de orden social. Consistían, en esencia, en la suspensión durante cuatro años de los lanzamientos cuando las viviendas habituales de personas en supuestos de especial vulnerabilidad se hubiesen adjudicado al acreedor en procesos judiciales o extrajudiciales de ejecución hipotecaria y en la promoción de un fondo social de viviendas propiedad de entidades de crédito, destinadas a ofrecer cobertura a personas desalojadas de su vivienda habitual por el impago de un préstamo hipotecario en determinados casos. Partiendo de estas medidas y de la regulación de la disposición adicional segunda del Decreto-ley andaluz 6/2013, en la STC 93/2015, FJ 18, llegamos a la conclusión de que dicha norma autonómica “aborda la misma situación de necesidad que la normativa estatal reseñada, pero lo hace mediante una regulación que, lejos de consistir en una mera modificación o corrección de técnica jurídica respecto de la solución arbitrada por ésta, responde a un principio incompatible”. Y a ello añadimos la virtualidad de la normativa autonómica enjuiciada para menoscabar las referidas medidas de política económica estatales por romper “el carácter coherente de la acción pública en esta materia”, orientada a la consecución de dos objetivos simultáneos consistentes en “actuar sobre el sistema de ejecución hipotecaria para dar cobertura a las necesidades sociales de vivienda y, al mismo tiempo, que con ello no se perturbe significativamente el funcionamiento de los mercados hipotecarios”. A lo que, finalmente, añadíamos que “también resulta relevante que la concurrencia de figuras jurídicas dispares sobre una misma realidad —la suspensión del lanzamiento en la norma estatal y la expropiación de uso en la autonómica— hace difícil la aplicación conjunta de ambas disposiciones, principalmente a la hora de decidir si su eficacia es simultánea o sucesiva. Entender lo primero, a pesar de que a ello induce la dicción del precepto al señalar que el plazo máximo de tres años que puede alcanzar la expropiación del uso se cuenta ‘desde la fecha del lanzamiento acordado por el órgano jurisdiccional competente’, no parece posible porque no se trata de medidas compatibles en el sentido de que puedan operar a un mismo tiempo. Entender lo segundo, aparte de hacer necesario definir qué norma es la prioritaria, anula en la práctica la virtualidad de una de ellas, que queda postergada en su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la citada STC 16/2018, FJ 12, al analizar la análoga disposición adicional décima de la antes mencionada Ley navarra de vivienda, no solo reiteramos la valoración realizada en la STC 93/2015; también, analizamos la continuidad en el tiempo de las aludidas medidas estatales, prorrogadas por el Real Decreto-ley 5/2017, de 17 de marzo, que dio nueva redacción a los apartados primero y segundo del artículo 1 de la Ley 1/2013, para ampliar el ámbito temporal (apartado primero) y los supuestos de especial vulnerabilidad objeto de protección (apartado segundo). Junto a ello, mencionábamos la disposición final cuarta de la Ley 9/2015, de 25 de mayo, por la que se mantuvo vigente, con ciertas extensiones objetivas y subjetivas, el fondo social de viviendas regulado en la Ley 1/2013. Y, por todo ello, concluimos declarando la vigencia de las consideraciones de la STC 93/2015, tanto en relación con el carácter básico de las normas estatales, como expresión de una política homogénea del Estado en la regulación del mercado hipotecario y la protección de sus deudores, como en cuanto a la distorsión que sobre esa política suponen las normas autonómicas que (como la de la Ley navarra y la ahora examinada) establecen medidas adicionales, incluso cuando (como en el caso de la Ley navarra) se trata de medidas de aplicación sucesiva (STC 16/2018,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todo lo expuesto, la disposición adicional primera de la Ley andaluza 4/2013 supone, igual que ocurría con la disposición adicional segunda del Decreto-ley andaluz 6/2013 y como también hemos entendido en relación con la disposición similar de la normativa autonómica navarra (STC 16/2018, FJ 13), “un uso de la competencia autonómica en materia de vivienda que, al interferir de un modo significativo en el ejercicio legítimo que el Estado hace de sus competencias (art. 149.1.13 CE) menoscaba la plena efectividad de dicha competencia estatal”, determinando, en consecuencia,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estimar el recurso en este punto, lo que hace innecesario examinar el motivo de inconstitucionalidad adicional que se esgrime en la demanda en relación con esta misma disposición adicional primera de la Ley 4/2013 ya anulada, a la que también se imputa arbitrariedad por restringir de manera arbitraria, a juicio del recurrente, su ámbito de aplicación a las “entidades financieras, sus filiales inmobiliarias o sus entidades de gestión de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cambio, no podemos apreciar una interferencia significativa equivalente a la estimada en el anterior fundamento, en relación con el resto de preceptos recurridos de la Ley andaluza 4/2013. En primer lugar, el artículo 1 de esta Ley modifica el artículo 1 de la Ley 1/2010, del derecho a la vivienda en Andalucía, para incluir, como parte del contenido esencial del derecho de propiedad de la vivienda, el deber de destinar ésta, de forma efectiva, al uso habitacional previsto en el ordenamiento. Por otra parte, la Ley 4/2013 incluye en la Ley 1/2010, además de otros preceptos no impugnados, el artículo 25, que define las viviendas deshabitadas, y el artículo 53.1 a), que tipifica como infracción muy grave, en los términos del artículo 25, no dar efectiva habitación a la vivienda, siempre que su titular sea una persona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16/2018, ya dijimos (FJ 14) que las medidas de reestructuración del sistema financiero adoptadas por el Estado, entre ellas las de las leyes 8/2012 y 9/2012, “constituyen un legítimo ejercicio de la competencia que atribuye el artículo 149.1.13 CE al Estado”. También expusimos en detalle en esa STC, FJ 15, el contenido de dichas normas estatales y, recapitulando, dijimos que aquellas normas preveían “en síntesis, dos medidas: a) para fortalecer la solvencia de las entidades de crédito dispone su obligación de constituir ciertas coberturas respecto de las financiaciones inmobiliarias de riesgo normal y la obligación de excluir de sus balances el resto de activos inmobiliarios (los que tuvieren clasificación distinta de riesgo normal), aportándolos a una sociedad gestora encargada de su desinversión; b) se constituye la SAREB, con una participación estatal del 45 por 100 para realizar ese proceso de desinversión de modo óptimo”.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el fundamento jurídico 16 A) de la STC 16/2018, descartamos la interferencia significativa en las medidas descritas de, entre otros allí recurridos, los artículos 42 bis y 66.1 de la Ley navarra de viviendas, que definen las viviendas deshabitadas y tipifican como infracción muy grave el incumplimiento por las personas jurídicas del deber de uso habitacional, de manera muy semejante a los artículos 25 y 53.1 a) de la Ley andaluza 1/2010, introducidos por la Ley andaluza 4/2013. En cuanto al artículo 42 bis de la Ley navarra, en la STC 16/2018 dijimos que tanto éste como los preceptos sucesivos de esa Ley (arts. 42 ter a 42 sexies) se enmarcan en actuaciones de fomento de la Comunidad Autónoma para promover el uso social de las viviendas y, al no incorporar un deber de habitación de los propietarios de viviendas, ni conectarse con las consecuencias gravosas (entre ellas, la sancionadora) previstas en la Ley, “no suponen de ninguna manera una interferencia significativa en el logro del objetivo de política económica que persigue el Estado con tales medidas”. Esta misma conclusión es trasladable al artículo 25 de la Ley andaluza 1/2010, introducido por la Ley 4/2013, que , dentro de un título VI introducido en la primera Ley, con la rúbrica “De los instrumentos para evitar la existencia de viviendas deshabitadas”, se limita, igual que el artículo 42 bis de la Ley navarra, a definir estas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1.3 de la Ley 1/2010, modificado por la Ley 4/2013, no cabe negar que éste recoge expresamente un deber de destinar las viviendas de forma efectiva al uso habitacional previsto en el ordenamiento jurídico que, dice, forman parte del contenido esencial del derecho de propiedad de la vivienda. No obstante, como razonamos en la STC 16/2018, FJ 16 B), refiriéndonos a los preceptos de la Ley navarra que establecen un deber similar, “resulta claro que el deber de todo propietario de vivienda de destinarla efectivamente a uso habitacional… no tiene virtualidad por sí solo para producir el menoscabo que nos ocupa”, pues “serán en todo caso las consecuencias que se asocien al incumplimiento de ese deber, las que, si revisten la suficiente entidad, pueden generarlo”.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consecuencia impugnada que la Ley andaluza 4/2013 asocia al incumplimiento del deber de uso habitacional es la infracción muy grave tipificada en el artículo 53.1 a) de la Ley andaluza 1/2010, introducido por la Ley 4/2013. Respecto a ésta, como dijimos en relación a su correlativo navarro en la STC 16/2018, FJ 16 C), “[d]ebe reconocerse, por tanto, que la reacción sancionadora prevista en el art. 66.1 es apta para producir una cierta incidencia negativa en la solvencia de las entidades de crédito porque reduce el valor de sus activos inmobiliarios [y]… con seguridad también generará algún efecto peyorativo en el proceso de desinversión de la SAREB”. Sin embargo, como continuábamos en dicha STC, en esencia, “el mayor o menor valor de tales activos inmobiliarios dependerá de toda una serie de factores económicos y no solo de la reacción sancionadora”. Y, teniendo en cuenta igualmente la reducida cuantía de los activos afectados y la ausencia de datos reales aportados con la demanda, que, como en aquel caso también en este ofrece únicamente previsiones, procede asimismo concluir ahora que no hay una base cierta para afirmar que la norma contenida en el artículo 53.1 a) de la Ley 1/2010, introducida por la Ley 4/2013, dictada por la Comunidad Autónoma de Andalucía en ejercicio de su competencia en materia de vivienda, interfiera de un modo significativo en la efectividad de las medidas estatales de política económica que estamos considerando.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procede desestimar este motivo de recurso al no apreciar el Tribunal que los artículos 1.3, 25 y 53.1 a) de la Ley 1/2010, redactados por la Ley andaluza 4/2013, interfieran de modo significativo en la política económica del Estado, diseñada al amparo del artículo 149.1.13 CE, contenida en las normas invocadas por el recurrente a las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la infracción del artículo 149.1.13 CE, que se esgrime en el recurso como lesión principal, la parte actora aduce motivos de inconstitucionalidad adicionales, referidos a los artículos 1.3, 25 y 53.1 a) de la Ley 1/2010, en la redacción dada por el artículo 1 de la Ley 4/2013. El primero de ellos, se refiere al artículo 1.3 de la Ley 1/2010, en cuanto establece, como ya se ha dicho, que forma parte del contenido esencial del derecho de propiedad de la vivienda el deber de destinar de forma efectiva el bien al uso habitacional previsto por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de forma similar a lo que ya decidimos en la STC 93/2015, FJ 13, al enjuiciar el mismo artículo 1.3 de la Ley 1/2010, en la redacción del Decreto-ley 6/2013, procede también ahora excluir de nuestro enjuiciamiento el último inciso del precepto (“así como mantener, conservar y rehabilitar la vivienda con los límites y condiciones que así establezca el planeamiento y la legislación urbanística”), pues “el Abogado del Estado, a pesar de dirigir la impugnación contra todo el precepto, ningún razonamiento destina a sostener la inconstitucionalidad de esta parte [por todas, STC 22/2012, de 16 de febrero,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destacado anteriormente, en la STC 93/2015 se analizó el contenido del referido artículo 1.3 de la Ley 1/2010, redactado por la Ley 4/2013, desde la perspectiva de los límites materiales del decreto-ley. A esos efectos, se afirmó que la concreta previsión impugnada “concurre a establecer el régimen general del derecho de propiedad de la vivienda y dentro de él uno de sus elementos esenciales, lo que, por implicar ‘afectación’ del mismo en el sentido que a este concepto le atribuye la doctrina constitucional, está vedado a esta modalidad de disposición con fuerza de ley. Esta conclusión no significa que la configuración constitucional del derecho de propiedad impida al legislador restringir de ese modo la amplitud de las facultades de uso y disposición del propietario de la vivienda, análisis que no procede desarrollar en este momento, sino que el precepto impugnado disciplina un espacio normativo vedado al decreto-ley y reservado a la ley formal, por lo que es inconstitucional y nulo por contravenir uno de los límites materiales del decreto-ley” (FJ 13). Por tanto, tomando como base esta constatación, una vez que dicho precepto ya ha sido aprobado mediante ley formal, resulta ahora necesario analizar si la concreta previsión contenida en el precepto impugnado —“[f]orma parte del contenido esencial del derecho de propiedad de la vivienda el deber de destinar de forma efectiva el bien al uso habitacional previsto por el ordenamiento jurídico”— supone una restricción de las facultades de uso y disposición del propietario de viviendas vedada por la configuración constitucional del derecho de propiedad al afectar a su contenido esencial indisponible para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es preciso traer a colación lo afirmado en la STC 16/2018, FJ 5, en relación con el reproche de inconstitucionalidad que, desde esta misma perspectiva, fue dirigido contra la legislación de la vivienda de Navarra, en la comprensión de que el artículo 42 bis.2 de la Ley Foral 10/2010 establecía el deber del destino efectivo de la vivienda al uso residencial como contenido esencial del derecho a la propiedad de viviendas. En esa Sentencia ya se afirmó que este tipo de previsiones autonómicas en que se establece el deber de destinar la vivienda de un modo efectivo a habitación, en la medida en que en el contexto normativo en que se inserta no se configura como real deber del propietario, sino como un objetivo que persigue el poder público mediante su política de vivienda, no puede afirmarse que forme parte del contenido esencial de ese tipo de derecho de propiedad. En el presente caso, tomando en consideración el contexto normativo en que se incluye la expresa mención que el artículo 1.3 hace a que ese deber “forma parte del contenido esencial del derecho a la propiedad” y, especialmente, teniendo en cuenta que también se afirma que dicho deber forma parte de ese contenido esencial en la medida en que está previsto en el ordenamiento jurídico, hay que deducir que ello no implica una regulación que imponga ese deber como configurador del real contenido esencial de aquel derecho. Desde esa comprensión, y así interpretado el contenido del artículo 1.3 impugnado, no cabe considerar que suponga una innovación del contenido esencial del derecho de propiedad de las viviendas sitas en la Comunidad Autónoma de Andalucía, configurado en el artículo 33 CE, tal como reprocha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infracción del principio de proporcionalidad esgrimida, cabe ya desde ahora adelantar que procede su desestimación por los mismos motivos que desestimamos una lesión muy parecida, denunciada también por el representante del Gobierno de la Nación en relación con la Ley navarra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17 de la tantas veces citada STC 16/2018 argumentamos lo siguiente: “A diferencia de lo sostenido en la demanda, este Tribunal aprecia que el legislador del derecho de propiedad, aparte del necesario respeto a su contenido esencial que predica el art. 53.1 CE de ‘los derechos y libertades reconocidos en el Capítulo Segundo del presente Título’, no encuentra otro límite que el de no sobrepasar el ‘equilibrio justo’ o ‘relación razonable entre los medios empleados y la finalidad pretendida’ (por todas, asunto James y Otros c. Reino Unido, 21 de febrero de 1986, § 50), teniendo en cuenta que en las decisiones de índole social y económica se reconoce al legislador un amplio margen de apreciación sobre la necesidad, los fines y las consecuencias de sus disposiciones (inter alia, asunto James y Otros c. Reino Unido, 21 de febrero de 1986, § 46; asunto ex Rey de Grecia y otros c. Grecia, 23 de noviembre de 2000, § 87; asunto Broniowski c. Polonia, 22 de junio de 2004, § 149)”.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 anterior al inciso impugnado del artículo1.3 de la Ley 1/2010, redactado por la Ley 4/2013, supone, trasladando nuevamente al caso lo razonado en la STC 16/2018, que aunque este precepto contiene una restricción relevante para el titular del derecho de propiedad, el legislador, como explica la exposición de motivos de la norma, la adopta “en función de un fin de relevancia constitucional como es garantizar el derecho a disfrutar de una vivienda digna y adecuada (art. 47.1 CE), a lo que se une que un análisis de dichas medidas, respetuoso del amplio margen de apreciación que incumbe al legislador en este ámbito, conduce a este Tribunal a concluir que con ellas no se desborda el justo equilibro entre los medios empleados y la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Respecto al mismo artículo1.3 de la Ley 1/2010, redactado por la Ley 4/2013, la demanda también afirma la vulneración de las competencias estatales previstas en los apartados 1 y 8 del artículo 149.1.CE, frente a lo que la Comunidad Autónoma de Andalucía esgrime la competencia exclusiva en materia de vivienda que le atribuye el artículo 56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debate en los términos expuestos, nuevamente la respuesta a esta impugnación se encuentra en la STC 16/2018. En ésta, FFJJ 7 y 8, ya recapitulamos cómo a partir de la STC 37/1987, de 26 de marzo, FJ 8, hemos entendido que, dentro del derecho de propiedad, cabe distinguir la vertiente individual de la institucional, que, precisamente, deriva de la función social y es distinta en los distintos bienes, pues no puede desligarse de “los concretos intereses generales que imponen una delimitación específica de su contenido”. Así las cosas, la regulación de esa vertiente institucional “incumbe al titular de la competencia sectorial para tutelar tales intereses y no al que lo es en materia de legislación civil ex art. 149.1.8 CE” [STC 16/2018,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149.1.1 CE, la STC 16/2018, FJ 8 A), también recuerda la doctrina según la cual este título competencial “lo que contiene es una habilitación normativa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lo que convierte en estos supuestos el enjuiciamiento de las leyes autonómicas a la luz del artículo 149.1.1 CE en un análisis de constitucionalidad mediata, que comienza con la identificación de la ley estatal dictada al amparo de este título competencial y supuestamente vulnerada. Y, del mismo modo que ocurría en el recurso resuelto por la STC 16/2018, tampoco en este caso precisa el Abogado del Estado en sus alegaciones “que el legislador estatal haya dictado, para asegurar una cierta igualdad en el ejercicio del derecho constitucional a la propiedad privada, una norma que reserve al propietario de viviendas (o de edificaciones en general) la decisión de tenerlas permanentemente habitadas” por lo que “resulta necesario afirmar que el legislador autonómico en materia de vivienda, en el momento en que realizamos este enjuiciamiento, no encuentra límites desde esta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es que el artículo 1 de la Ley andaluza 4/2013, por el que se dio nueva redacción al artículo 1.3 de la Ley 1/2010, del derecho a la vivienda en Andalucía, no invade en este momento las atribuciones estatales ex artículo 149.1.1 y .8 CE, lo que se hace extensible a los artículos 25 y 53.1 a) de la misma Ley 1/2010, introducidos por la Ley 4/2013, a los que el recurrente hace extensiva esta impugnación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siguiente motivo de impugnación planteado que hemos de examinar se refiere a la supuesta inconstitucionalidad de los artículos 25 y 53.1 a) de la Ley 1/2010, introducidos por la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esgrimidas lesiones de los artículos 24 y 25 CE, así como del artículo 9.3 CE por arbitrariedad derivada de la falta de poder de disposición absoluto de las personas jurídicas sobre las viviendas, procede rechazar la impugnación, nuevamente aplicando la doctrina de la STC 16/2018 que, en su fundamento jurídico 9, resolvió una prácticamente idéntica en relación con los correlativos preceptos de la Ley de viviendas de Navarra. Como allí dijimos, pero refiriéndonos ahora a los artículos 25 y 53.1 a) de la Ley andaluza 1/2010, puesto que el primero de estos artículos, según lo razonado en el fundamento jurídico 6 anterior, ha de entenderse en función de la política de fomento en materia de vivienda de la Comunidad Autónoma y, por tanto, no relacionado con las medidas de gravamen que se regulan en otros preceptos de la ley, “[a]l no revestir estos preceptos ninguna eficacia en el régimen sancionador previsto… no es posible anudar a ellos la vulneración de los principios invocados en esta alegación, por lo que debe acordase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la supuesta lesión de los artículos 9.3 y 14 CE por asociar el artículo 53.1 a) las consecuencias sancionadoras por incumplimiento del deber de habitación solo al caso de las personas jurídicas, cabe trasladar a este supuesto las consideraciones que hacia la STC 16/2018, FJ 10, en relación con esa misma discriminación que en aquel recurso se imputaba a la disposición adicional décima de la Ley navarra de vivienda. Como dijo esta STC: “La demanda no contiene ninguna argumentación relativa a las notas constitutivas del canon de igualdad ex artículo 14 CE, ni precisa la condición peyorativa histórica o socialmente arraigada que concurra en el sujeto discriminado, por lo que el Tribunal ceñirá su análisis a determinar si las diferencias normativas recurridas carece[n] de toda explicación racional… sin que sea pertinente un análisis a fondo de todas las motivaciones posibles de la norma y de todas sus eventuales consecuencias” (STC 38/2016, de 3 de marzo, FJ 8, y las allí citadas), a lo que se añadía que “[e]l Tribunal considera que no solo cabría formular ciertas explicaciones para dicho distinto régimen, sino que incluso alguna de ellas es expuesta en el preámbulo de la norma” y que “[e]n efecto, la notoriedad de la utilización de las viviendas como bien de inversión predicable en las personas jurídicas, frente al natural ejercicio del derecho a la vivienda propio de las personas físicas, podría justificar razonablemente que el legislador asociase consecuencias diversas al incumplimiento del deber de dar efectiva habitación a la vivienda cuando su titular es una persona jurídica”. En este caso, también el preámbulo de la Ley andaluza 4/2013, contiene consideraciones sobre el especial reproche que merece la desocupación de las viviendas de las que son titulares las personas jurídicas, en especial las entidades financieras, sus filiales y sus entidades de gestión de activos, al utilizar las viviendas como bien de inversión y dada la importancia cuantitativa de este escenario. Por tanto, constatado que no se puede afirmar que el distinto trato definido en los preceptos legales ahora examinados carezca de toda explicación racional, no cabe tampoco acoger este motivo impugnatorio.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núm.7357-2013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el artículo 1.3 de la Ley 1/2010, de 8 de marzo, reguladora del derecho a la vivienda en Andalucía, redactado por la Ley 4/2013, de 1 de octubre, de la Comunidad Autónoma de Andalucía, de medidas para asegurar el cumplimiento de la función social de la vivienda, es conforme a la Constitución Española, interpretado de acuerdo con el fundamento jurídico 7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inconstitucionalidad y nulidad de la disposición adicional primera de la Ley 4/2013, de 1 de octubre, de la Comunidad Autónoma de Andalucía, de medidas para asegurar el cumplimiento de la función social de la vivienda,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