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814-2018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814-2018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 y las restantes medidas cautelares solicitadas.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13 de febrero de 2018, la Procuradora de los Tribunales doña Celia López Ariza, en nombre y representación de don Oriol Junqueras Vies, bajo la dirección del Letrado don Andreu Van den Eynde, interpuso demanda de amparo contra el Auto de la Sala de lo Penal del Tribunal Supremo de 5 de enero de 2018, por el que se desestima el recurso de apelación interpuesto contra el Auto dictado por el Magistrado Instructor de la causa especial núm. 20970-2017, de 4 de diciembre de 2017, que acuerda mantener la prisión provisional comunicada y sin fianza del recurrente, entre otras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las decisiones judiciales impugnadas han vulnerado (i) el derecho fundamental al juez predeterminado por la ley y al juez imparcial (art. 24.2 CE), por la imposibilidad de recusar de forma efectiva a los Magistrados del Tribunal Constitucional; por la falta de competencia objetiva del Tribunal Supremo para investigar o enjuiciar los hechos que se atribuyen al recurrente al no haberse cometido ningún delito fuera del territorio catalán; y porque la atribución de competencia al Tribunal Supremo anularía las posibilidades de revisión de sus decisiones, pues el Instructor de la Sala Penal del Tribunal Supremo es un delegado ad hoc de la propia Sala y no está sometido jerárquicamente a sus compañeros de Sala; (ii) el derecho fundamental a la libertad (art. 17.1 CE), por la ausencia de ponderación o proporcionalidad, por la lejanía del centro penitenciario respecto de su domicilio familiar y porque el riesgo de reiteración delictiva no se funda en razones objetivas ni resulta actual dada la realidad de que el recurrente no es candidato a la Presidencia de la Generalidad; (iii) el derecho fundamental a la participación política y a la representación (art. 23 CE), dado que la medida cautelar supone un obstáculo para el ejercicio de sus derechos como parlamentario del Parlamento de Cataluña; (iv) el derecho fundamental a la libertad ideológica (art. 16 CE), porque “la prisión provisional castiga la ideología del recurrente”, cuando la Constitución no prohíbe ni establece límites al debate político; (v) el derecho fundamental a la defensa (art. 24.2 CE), por la limitación del ejercicio de este derecho que supone la privación de libertad al hallarse alejado centenares de kilómetros de su letrado, con las dificultades que conllevan las condiciones en que se desarrollan las comunicaciones penitenciarias, así como por la indefensión sufrida en el procedimiento seguido ante el Juzgado Central de Instrucción núm. 3, al no haber tenido tiempo de preparar su defensa y por la incomparecencia de su abogado en las declaraciones debido a un señalamiento incompatible; (vi) el derecho fundamental a la legalidad penal (art. 25.1 CE), ya que los hechos “no constituyen los tipos penales sobre los que basar el supuesto riesgo de reiteración delictiva”, y, en relación con los delitos de rebelión y sedición, “las resoluciones recurridas se fundamentan en una interpretación novedosa e imprevisible de la ley penal, contraria a la letra de la ley, a su espíritu y a su interpretación auténtica, sistemática y teleológica”; y (vii) el derecho fundamental a la presunción de inocencia (art. 24.2 CE), porque la prisión provisional “se produce y mantiene tras una exhibición y presentación pública de los investigados como culpables, en ocasiones a través de manifestaciones oficiales”.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prisión provisional aduciéndose que dicha solicitud “se fundamentará en escrito aparte tras la admisión a trámite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 este Tribunal, por providencia de 24 de abril de 2018, acordó, a propuesta de la Sala Primera y de conformidad con lo que establece el artículo 10.1 n) de la Ley Orgánica del Tribunal (LOTC), recabar para sí el conocimiento del recurso de amparo. Por sendas providencias de 8 de mayo de 2018, se acordó, respectivamente,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FJ 2 a)] y la formación de pieza separada para la tramitación del incidente sobre la suspensión solicitada;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por escrito registrado el 17 de mayo de 2018, presentó alegaciones en las solicita la suspensión de la medida de prisión provisional que le afecta o su sustitución por otra “menos gravosa que proteja los derechos fundamentales cuya defensa se interesa en la demanda” a través de fórmulas como la libertad bajo fianza o, en última instancia, el acercamiento al domicilio del recurrente. A esos efectos, aduce que el mantenimiento de la situación de prisión provisional ocasiona irreparables perjuicios en sus derechos, con trascendencia más allá de la persona demandante. Tras citar los derechos a la libertad deambulatoria, la libertad ideológica, los derechos políticos y el derecho de defensa, hace hincapié en que el derecho a gozar de una vida familiar digna y el derecho de defensa, cuya desprotección, dice, podría dar lugar a daño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término, el escrito de alegaciones pone de manifiesto los “sufrimientos y secuelas” de los hijos menores de edad y la esposa del demandante que habrían de justificar la suspensión cautelar de la decisión recurrida bien mediante la puesta en libertad, pretensión principal que se defiende, bien mediante “la minoración de la severidad del cumplimiento de la medida cautelar de encarcelamiento” a través de libertad bajo fianza o, en última instancia, el acercamiento al domicilio del recurrente. Se refiere a continuación a las circunstancias de sus hijos menores y de su esposa, respecto de las que acompaña documentos acreditativos, resaltando la corta edad de los menores, la necesidad de preservar su interés superior y la protección de la familia, siendo de capital importancia evitar la separación familiar de los menores y sus padres según la Convención de los derechos del niño. En este mismo sentido cita la Resolución 63/241 de la Asamblea General de la ONU (2009), las reglas de Bangkok relativas a reclusas y mujeres delincuentes (Naciones Unidas, 2010) y la reciente recomendación del Consejo de Europa de 2018 sobre los hijos de los detenidos, en la que se establece la necesidad de proteger a los hijos de los reclusos, garantizar sus derechos y evitar su discriminación frente a los hijos de personas en libertad. De acuerdo con lo anterior, argumenta que la propia legislación penitenciaria española establece el criterio de proximidad al domicilio del interno.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aduce que la distancia que separa al demandante de los profesionales que le defienden supone una merma de su derecho de defensa. A su juicio, con una mayor proximidad geográfica se verían incrementadas las garantías de participar en condiciones adecuadas en el proceso penal, teniendo en cuenta, además, las dificultades de trabajo en las condiciones en las que las comunicaciones penitenciarias se desarrollan. Pone de manifiesto que, a pesar de los mandamientos remitidos por el Magistrado del Tribunal Supremo con relación a la necesidad de que internos y abogados puedan trabajar en espacios de trabajo “sin sistemas de separación con cristal”, las circunstancias del centro penitenciario, en que sólo existe una sala para dichas comunicaciones, y la coincidencia de profesionales, hacen muy difícil la tarea de preparación de la estrategia defensiva, teniendo en cuenta, además, que se trata de actuaciones judiciales que tienen miles de folios.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17 de mayo de 2018, presentó alegaciones en las que interesa la desestimación de la pretensión de suspensión solicitada. Tras exponer los antecedentes procesales del presente recurso de amparo, cita y trascribe parte del contenido de los AATC 173/2017, 22/2018 y 38/2018 para concluir que la aplicación de la doctrina precedente debe conducir a la denegación de la suspensión, pues acceder a ella equivaldría a una improcedente anticipación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establecido, de forma constante e indubitada, en relación con la posibilidad de acordar la suspensión de decisiones judiciales en que se acuerdan medidas cautelares privativas de libertad, como es la prisión provisional en el marco de un procedimiento penal, que aunque la afección del derecho a la libertad personal que produce su ejecución causa perjuicios irreparables, sin embargo, su suspensión equivaldría a un otorgamiento anticipado del amparo, por lo que ha rechazado la posibilidad de su suspensión en el procedimiento de amparo (así, por ejemplo, AATC 4/2006, de 12 de febrero, FJ 1; 41/2007, de 16 de enero, FJ 2; 219/2008, de 14 de julio, FJ 2; 94/2010, de 19 de junio, FJ 2, y 173/2017, de 18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Recientemente, hemos ratificado esta doctrina en relación a las pretensiones cautelares de suspensión de medidas judiciales de prisión preventiva recaídas en esta misma causa especial en los AATC 22/2018 y 38/2018, de 7 y 22 de marzo,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alegaciones del Ministerio Fiscal, la aplicación de la específica jurisprudencia constitucional reseñada conduce a la denegación de la solicitud de suspensión de las resoluciones impugnadas, pues acceder a la misma equivaldría -con independencia del alcance y efectos de una eventual sentencia estimatoria en este recurso-, al otorgamiento anticipado del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añadir, por lo que se refiere a los perjuicios irreparables que invoca el recurrente como fundamento de la tutela cautelar que demanda,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línea con la doctrina de este Tribunal que aparece recogida en el ATC 38/2018, de 22 de marzo, FJ 3, el perjuicio alegado, y que resulta afectante a la protección de la familia del recurrente y de sus hijos menores, resulta inidóneo a los fines que nos ocupan en cuanto no se proyecta sobre ninguno de los derechos fundamentales en que se sustenta el recurso de amparo y a los que se hace mención en el antecedente segundo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derecho de defensa que se vería mermado por la situación de prisión provisional del demandante, derecho que sí es invocado en la demanda, la carga alegatoria que corresponde a la parte recurrente aparece incumplida en cuanto se limita a poner de manifiesto meros inconvenientes y no un perjuicio real para el ejercicio de este derecho fundamental. Respecto de la carga alegatoria y probatoria del incidente es doctrina del Tribunal que “la acreditación del perjuicio es carga del recurrente, quien debe precisar los concretos perjuicios que de la ejecución se deriven, así como justificar o argumentar razonadamente la irreparabilidad de los mismos (por todos, ATC 36/2007, de 12 de febrero, FJ 2, con cita de otros precedentes)”.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y con respecto de la pretensión subsidiaria relativa al acercamiento del recurrente a su domicilio familiar —puesto que la libertad bajo fianza que, como medida intermedia solicita también, supondría dejar sin efecto las resoluciones judiciales impugnadas lo que materialmente implicaría una estimación anticipada del amparo—, debemos aclarar que dicha medida excede del objeto del recurso de amparo en que la tutela se impetra frente a las resoluciones judiciales con un determinado contenido, cual es el de mantener la medida cautelar de prisión provisional comunicada y sin fianza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esta solicitud de acercamiento del recurrente a su domicilio familiar supone una pretensión nueva, imprejuzgada y que nada tiene que ver con el objeto principal del recurso de amparo, que es única y exclusivamente valorar el ajuste constitucional de las medidas cautelares de prisión provisional que mantienen las resoluciones judiciales impugnadas a los artículos 16, 17, 23, 24 y 25 CE, en los sucintos términos expuestos en el antecedente primero de este Auto. Y a este respecto, tal y como se establece en los fundamentos jurídicos 1 y 2, el Tribunal viene estableciendo de forma constante, en su jurisprudencia, que el levantamiento de las medidas cautelares de prisión provisional, como fórmula asimismo cautelar de suspensión del acto recurrido en amparo, ha de ser rechazado, puesto que supone un otorgamiento anticipado del amparo, que haría innecesario un pronunciamiento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los eventuales perjuicios que, para el ejercicio del derecho de defensa y la protección de sus relaciones familiares y del interés de sus hijos menores, puedan derivarse de la actual situación de prisión provisional del recurrente, con independencia de que puedan hacerse valer en la vía judicial ordinaria, no pueden ser analizados por este Tribunal en el presente incidente, en razón de la naturaleza subsidiaria del recurso de amparo, y de la propia naturaleza y objeto limitado de la pieza separada de que ahora conocemos.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 y las restantes medidas cautelares solicitadas.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