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3707-2018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3707-2018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mayo de 2018, el Procurador de los Tribunales don Emilio Martínez Benítez, en nombre y representación de doña Carme Forcadell Lluis, bajo la dirección de la Letrada doña Olga Arderiu Ripoll, interpuso demanda de amparo contra el Auto de 17 de mayo de 2018, de la Sala de lo Penal del Tribunal Supremo, que desestimó el recurso de apelación interpuesto contra el Auto de 23 de marzo de 2018, del Magistrado instructor en la causa especial núm. 20907-2017, en el que se acuerda la prisión provisional, comunicada y sin fianza, entre otros,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considera que las resoluciones judiciales impugnadas han vulnerado el derecho al juez imparcial, dada la imposibilidad de recusar a los Magistrados del Tribunal Constitucional, pues ya por Auto del Tribunal Constitucional, de fecha 7 de septiembre de 2017 (núm. de asunto 6330- 2015), se inadmitió la recusación planteada al no existir la posibilidad de que los Magistrados del Tribunal Constitucional fueran sustituidos. Considera que el procedimiento penal se inició como consecuencia de las resoluciones dictadas por el Tribunal Constitucional o bien porque el Tribunal Constitucional acordó deducir testimonio. Entiende que las resoluciones impugnadas también han vulnerado el derecho al juez ordinario predeterminado por la ley en relación con el derecho a la libertad personal, al acordarse la prisión provisional por un órgano judicial manifiestamente incompetente, aplicando normas de determinación de la competencia imprevisibles (art. 24.2 y 17.1 CE). Refiere en tal sentido que todos los delitos imputados (rebelión, sedición, malversación) se han cometido en Cataluña, por lo que conforme al artículo 57.2 del Estatuto de Autonomía de Cataluña (EAC) y al Auto de 12 de noviembre del 2014 dictado por la Sala Segunda del Tribunal Supremo la competencia corresponde al Tribunal Superior de Justicia de Cataluña. Además añade que las causas enjuiciadas por el Tribunal Supremo no gozan de segunda instancia, lo que a su juicio vulnera también el derecho a la doble instancia penal (art. 24.1 y 2 CE). Afirma que al haber sido interpuesta la querella por el Fiscal General del Estado, que es compañero de los Magistrados del Tribunal Supremo que deciden la causa penal, el conocimiento de la querella por estos vulnera el derecho al juez imparcial.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segundo motivo de amparo invoca la vulneración del derecho a la libertad en relación con el derecho a la tutela judicial efectiva (arts. 17.1 y 24.1 CE), por falta de fundamentación suficiente, individual y razonable de los fines de la prisión provisional —riesgo de fuga y reiteración delictiva— y de la inexistencia de medidas menos gravosas.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también se le ha vulnerado el derecho a la libertad (art. 17 CE) en relación con la vulneración del derecho fundamental a un proceso con todas las garantías (art. 24.2 CE), al haber convocado la comparecencia de prisión sin petición de parte, contraviniendo el artículo 539 en sus apartados tercero y cuarto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Concurre a su juicio que las resoluciones vulneran el derecho a la libertad (art. 17 CE) en relación con la contravención del derecho a la libertad ideológica, la libertad de expresión y el derecho a la participación y representación políticas (arts. 16, 20 y 23 CE), pues no ponderan la afectación a los derechos políticos y producen una criminalización del proceso político. La demandante refiere que como miembro de la Mesa no decidía la actividad legislativa, ni tampoco la ejecutaba. Además entiende que le amparaba la libertad de expresión de modo intenso al ser representante de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afirma que se le ha vulnerado el derecho de defensa (art. 24.2 CE) habida cuenta de las circunstancias en las que se produce la privación de libertad de la demandante. La distancia del centro penitenciario del domicilio profesional de la letrada, a su juicio, dificultan el ejercicio del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la demanda de amparo solicita la suspensión de la medida cautelar de prisión provisional impuesta, “solicitud que se fundamentará en escrito aparte tras la 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17 de julio de 2018, el Pleno acordó, a propuesta de tres Magistrados, recabar para sí el conocimiento del recurso de amparo y admitirlo a trámite apreciando que concurre en el mismo especial trascendencia constitucional por plantear un problema o afectar a una faceta de un derecho fundamental sobre el que no hay doctrina en el Tribunal [STC 155/2009, FJ 2 a)]. Igualmente se acordó que, en aplicación de lo dispuesto en el artículo 51 de la Ley Orgánica de este Tribunal, se dirigiera atenta comunicación a la Sala de lo Penal del Tribunal Supremo, a fin de que, en plazo que no exceda de diez días, remita certificación o fotocopia adverada de las actuaciones correspondientes a la causa especial núm. 20907-2017, en relación con el Auto de 17 de mayo de 2018 de la Sala de lo Penal del Tribunal Supremo en apelación contra el Auto de 23 de marzo de 2018 dictado por el Magistrado Instructor; debiendo previamente emplazarse, para que en el plazo de diez días puedan comparecer, si lo desean, en el recurso de amparo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de las resoluciones recurridas formulada en la demanda de amparo mediante otrosí, se acordó formar la oportuna pieza separada y, en ella conceder un plazo de tres días al Ministerio Fiscal y a la solicitante de amparo para que efectúen alegaciones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demandante de amparo presentó sus alegaciones el día 26 de julio de 2018. La demandante solicita la suspensión total o parcial de las resoluciones que acuerdan la prisión provisional. La recurrente reconoce la existencia en la presente causa de pronunciamientos en los que se ha denegado la suspensión (AATC 22/2018, 38/2018, 58/2018, 54/2018 y el más reciente ATC 82/2018, de 17 de julio, dictado en el recurso de amparo 2971-2018), pero considera que las características del presente supuesto constituyen una posibilidad para revisar y modificar la doctrina. Destaca que la demandante lleva privada de libertad desde el 23 de marzo de 2018, lo que ocasiona una lesión irreversible que afecta a la vida familiar de la recurrente y de toda su familia, que solo puede ser evitada mediante la suspensión solicitada aunque la misma sea parcial posibilitando la adopción de medidas cautelares menos lesivas que no perturben el interés constitucionalmente protegido. Añade que la situación de privación de libertad debilita las posibilidades de defensa técnica y jurídica atendido el volumen de la causa y la gravedad del delito atribuido.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26 de julio de 2018, presentó alegaciones en las que considera que no procede la suspensión de la medida cautelar de privación de libertad. Comienza sus alegaciones reproduciendo los AATC 173/2017, FJ 1; 22/2018, FJ 1; 38/2018, FJ 4; 54/2018, de 22 de mayo, FFJJ 1 y 2, y 82/2018, FJ 1, tras lo cual afirma que la suspensión de la medida cautelar no es procedente, aunque la afectación del derecho a la libertad sea irreversible, pues ello supondría un improcedente otorgamiento anticipado del amparo, según inconcusa doctrina del Tribunal recientemente reiterada.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 La suspensión cautelar de las resoluciones impugnadas en amparo se configura como una medida provisional de carácter absolutamente excepcional y de aplicación fundamentalmente restrictiva, que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(en este sentido, entre otros muchos, se pronuncian los AATC 2/2001, de 15 de enero, FJ 1; 4/2006, de 16 de enero, FJ 1, y 127/2010,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ha establecido, de forma constante e indubitada, en relación con la posibilidad de acordar la suspensión de decisiones judiciales en que se acuerdan medidas cautelares privativas de libertad, como es la prisión provisional en el marco de un procedimiento penal, que, aunque la afección del derecho a la libertad personal que produce su ejecución cause perjuicios irreparables, sin embargo, su suspensión equivaldría a un otorgamiento anticipado del amparo, por lo que ha rechazado la posibilidad de su suspensión en el procedimiento de amparo (así, por ejemplo, AATC 4/2006, de 12 de febrero, FJ 1; 41/2007, de 16 de enero, FJ 2; 219/2008, de 14 de julio, FJ 2; 94/2010, de 19 de junio, FJ 2, y 173/2017, de 18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alegaciones del Ministerio Fiscal, la aplicación de la específica doctrina constitucional reseñada conduce a la denegación de la solicitud de suspensión o de modificación de las resoluciones impugnadas. Como hemos afirmado en relación con la solicitud de suspensión de resoluciones en las que también se acordaba la medida cautelar de prisión provisional, comunicada y sin fianza en esta misma causa especial [AATC 22/2018, de 7 de marzo, FJ 2; 38/2018, de 22 de marzo, FJ 4; 53/2018, de 22 de mayo, FJ 3; 54/2018, de 22 de mayo FJ 1; 55/2018, de 22 de mayo, FJ 2 c); y, recientemente, en el ATC 82/2018, de 17 de julio, FJ 2, en que se solicitaba por otros procesados la suspensión de las mismas resoluciones ahora impugnadas], acceder a la misma equivaldría el otorgamiento anticipado del amparo solicitado, al conllevar la excarcelación de la recurrente, con independencia del alcance y efectos de una eventual sentencia estimatoria en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