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3680-2019, planteada por el Juzgado de lo Contencioso-Administrativo núm. 2 de Zaragoza, en relación con los arts. 107.1 párrafo segundo, 107.2 a) y 107.8 y, por conexión, 108.1 párrafo segundo, y 108.2, todos ellos del texto refundido de la Ley reguladora de las haciendas locales, aprobado por el Real Decreto Legislativo 2/2004, de 5 de marzo. Han comparecido y formulado alegaciones el abogado del Estado y la fiscal general del Estado.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junio de 2019 tuvo entrada en el registro de este Tribunal un escrito del Juzgado de lo Contencioso-Administrativo núm. 2 de Zaragoza, al que se acompañaba, junto al testimonio del correspondiente procedimiento (procedimiento abreviado núm. 207-2018), el auto de 6 de junio de 2019, por el que se acordaba plantear una cuestión de inconstitucionalidad en relación con los arts. 107.1, párrafo segundo, 107.2 a) y 107.8 y, por conexión, 108.1, párrafo segundo, y 108.2, todos ellos del texto refundido de la Ley reguladora de las haciendas locales, aprobado por el Real Decreto Legislativo 2/2004, de 5 de marzo (en adelante, TRLHL), por posible contradicción con los principios de capacidad económica, progresividad y prohibición de confiscatoriedad, previstos en el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el fallecimiento de don Arturo Cristóbal Giménez, doña María Pilar Cristóbal Arias y doña Amelia Arias Cobos, su hija y esposa, respectivamente, recibieron por herencia el 50 por 100 (en nuda propiedad la primera y en usufructo la segunda) de una vivienda situada en Zaragoza que en la escritura de aceptación de herencia —otorgada en 1995— fue valorada en 35.000 €. Dicha vivienda fue vendida con fecha de 31 de marzo de 2015 por un importe de 38.000 €, obteniendo una ganancia patrimonial bruta de 3.000 €. Descontados los gastos y tributos soportados tanto al momento de la adquisición como al de la transmisión (de 2.371,35 €), la ganancia real alegada fue de 628,65 €.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consecuencia de la anterior venta el ayuntamiento de Zaragoza dictó una liquidación por el impuesto sobre el valor de los terrenos de naturaleza urbana (núm. 14760-2015), con un incremento de valor derivado de aplicar lo dispuesto en el art. 107 TRLHL por una cuantía de 15.569,71 € y una cuota tributaria resultante de 4.670,91 € (esto es, del 155,70 por 100 de la ganancia bruta obtenida).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Dado que la cuota tributaria liquidada era superior al importe de la ganancia patrimonial neta obtenida, las obligadas tributarias interpusieron un recurso de reposición que fue desestimado por el ayuntamiento de Zaragoza.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resolución desestimatoria del recurso de reposición se interpuso un recurso contencioso-administrativo, cuyo conocimiento correspondió al Juzgado de lo Contencioso-administrativo núm. 2 de Zaragoza. Una vez concluso el correspondiente procedimiento, mediante providencia de 21 de mayo de 2019, con suspensión del término para dictar sentencia, se dio traslado a las partes y al Ministerio Fiscal para que alegasen sobre si los arts. 107.1, párrafo segundo, 107.2 a) y 107.8, y en su caso, por conexión, los arts. 108.1, párrafo segundo, y 108.2 TRLHL, aprobado por el Real Decreto Legislativo 2/2004, de 5 de marzo, pudieran ser confiscatorios (infringiendo tanto el derecho de propiedad consagrado en el art. 1 del protocolo adicional núm. 1 al Convenio europeo de derechos humanos, como la doctrina del Tribunal Constitucional sobre la capacidad económica y la prohibición de confiscatoriedad), pues existiendo una manifestación de capacidad económica (y, por tanto, estando ante una situación que no se ha visto afectada por la declaración de inconstitucionalidad de la STC 59/2017), concretamente, un incremento de valor de 3.000 € (de solo 628,65 € una vez descontados los gastos), el importe del tributo ascendió a 4.670,91 €, agotando la riqueza sometida a tributación.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Evacuado el trámite de alegaciones conferido el Ministerio Fiscal, por informe de 23 de mayo de 2019, se mostró favorable a su planteamiento. Por su parte, el ayuntamiento de Zaragoza, por escrito de 27 de mayo de 2019, no se opuso al mismo, indicando que la Sala de lo Contencioso-Administrativo del Tribunal Supremo ha planteado una cuestión de inconstitucionalidad sobre el mismo asunto. La parte recurrente efectuó sus alegaciones por escrito de 4 de junio de 2019 en las que consideraba que el planteamiento de la cuestión dependía de la valoración de la prueba que hiciese el juzgado, a los efectos de determinar si hubo un incremento real de 3.000 € o si, por el contrario, no hubo tal incremento al responder a un pacto entre el vendedor y el comprador para el pago de los costes de la tramitación de la herencia, aún 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6 de junio de 2019, el magistrado-juez del Juzgado de lo Contencioso-Administrativo núm. 2 de Zaragoza dictó auto planteando la cuestión, con la fundamentación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caso es análogo al de la cuestión núm. 1020-2019, admitida mediante providencia de fecha de 26 de marzo de 2019. Este es incluso más claro puesto que, sin necesidad de computar los gastos, como sucede en dicha cuestión, la cuota tributaria agota ya el incremento de valor, por lo que se puede prescindir de si los gastos deben tenerse en cuenta o no para calcular el incremento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incremento de valor derivado de aplicar el TRLHL ascendió aquí a 15.569,71 €, resultando una cuota tributaria de 4.670,91 €, lo que agotó la riqueza imponible de 3.000 € que se había obtenido. El valor de adquisición se ha fijado en 35.000 €, determinado en función del impuesto sobre sucesiones, con independencia de la tributación que tenga en este tributo. Resulta también ajustado el precio de 38.000 € por el que se vendió a un tercero. Por tanto, aun sin contar los gastos necesarios, resulta que la riqueza imponible se ha agotado. Pese a ello, con la normativa aplicable y la jurisprudencia del Tribunal Constitucional y del Tribunal Supremo recaída hasta el momento habría que confirmar la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ser la cuota pagada superior al incremento obtenido, no solo se estaría gravando una riqueza al margen de su capacidad real, en contra de los principios de capacidad económica y progresividad del art. 31.1 CE, sino que se estaría produciendo un efecto confiscatorio contrario al art. 31.1 CE y al derecho de propiedad garantizado tanto por el art. 1 del Protocolo adicional núm. 1 al Convenio europeo de derechos humanos como por el apartado 1 del art. 17 de la Carta de los derechos fundamentales de la Unión Europea. El resultado confiscatorio se produce sin considerar los restantes tributos que el mismo obligado tributario debe soportar como consecuencia de la transmisión, como es el impuesto sobre la renta de las personas físicas (aplicable a la ganancia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reproduce el art. 31.1 CE y cita diversos pronunciamientos constitucionales relativos al mismo, en particular, la STC 194/2004, de 4 de noviembre, FJ 7, referida al impuesto sobre actividades económicas, y la STC 37/2017, de 1 de marzo, FJ 3, en relación justamente con el impuesto sobre el valor de los terrenos de naturaleza urbana. Recalca que el principio de capacidad económica obligaría a modular la carga tributaria en función de la medida de dicha capacidad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de hecho aquí planteado —aclara— es distinto del resuelto en la STC 59/2017, de 11 de mayo, puesto que no se trata de una minusvalía, como en el abordado en dicha sentencia, sino de un incremento en el que la cuota a pagar es superior a la plusvalía realmente experimentada por el terreno, de manera que dicho incremento es “expropiado” de facto, con carácter confiscatorio. Esta circunstancia no está prevista en la normativa del impuesto ni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juzgador entiende que las normas que regulan el impuesto pueden contravenir los principios de capacidad y no confiscatoriedad, planteando así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Constitucional, a propuesta de la Sección Cuarta, dictó providencia el 16 de julio de 2019 por la que acordó: admitir a trámite la cuestión planteada por el Juzgado de lo Contencioso-Administrativo núm. 2 de Zaragoza en relación con los arts. 107.1, apartado segundo, 107.2 a) y 107.8, y por conexión, 108.1, apartado segundo, y 108.2 TRLHL, por posible vulneración del art. 31.1 CE; de conformidad con lo dispuesto en el artículo 10.1 c) de la Ley Orgánica del Tribunal Constitucional (LOTC), deferir su conocimiento a la Sala Segunda; dar traslado de las actuaciones recibidas, conforme establece el artículo 37.3 LOTC, al Congreso de los Diputados y al Senado, por conducto de sus presidentes, al Gobierno, por conducto de la ministra de Justicia, y a la fiscal general del Estado, al objeto de que, en el improrrogable plazo de quince días, puedan personarse en el proceso y formular las alegaciones que estimen convenientes; comunicar la resolución al Juzgado de lo Contencioso-Administrativo núm. 2 de Zaragoza, a fin de que, de conformidad con lo dispuesto en el art. 35.3 LOTC, permanezca suspendido el proceso hasta que este Tribunal resuelva definitivamente la presente cuestión; y publicar la incoación en el “Boletín Oficial del Estado” (lo que tuvo lugar en el núm. 179, de 27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31 de julio de 2019 se recibió en el registro de este Tribunal un escrito de la presidenta del Congreso de los Diputados por el que da traslado del acuerdo adoptado por la Mesa de dicha Cámara dándose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igual forma, el 4 de septiembre de 2019 tuvo entrada en el registro de este Tribunal un escrito del presidente del Senado por el que da traslado del acuerdo adoptado por la mesa de dicha cámara dándose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septiembre de 2019 se registró en este Tribunal un escrito del abogado del Estado en el que solicitaba que se le tuviese personado en el procedimiento y que se desestimase la cuestión de inconstitucionalidad, con base en los argumentos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hace una interpretación de los hechos acaecidos alternativa a la del órgano judicial. Alega que tratándose de una adquisición hereditaria, el valor de adquisición de la vivienda que debe tomarse como referencia es el que tenía a la fecha de fallecimiento —en este caso el 1 de febrero de 1965— no a la fecha de aceptación de la herencia, que se produjo en 1995. Este criterio alternativo arrojaría un incremento de valor previsiblemente mayor al de 3.000 € que da por probado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y con independencia de lo anterior, la duda planteada por el órgano judicial (gravamen excesivo de la ganancia obtenida por el sujeto) parte de una concepción errónea del concepto del “incremento de valor” en su regulación positiva, pues en los supuestos no afectados por la declaración de inconstitucionalidad de la STC 59/2017, el texto refundido de la Ley de haciendas locales solo toma en consideración el valor catastral en el momento del devengo (referenciado al de mercado según el art. 22 del texto refundido de la Ley de catastro, aprobado por el Real Decreto Legislativo 1/2004, de 5 de marzo) y no otros valores, como podría ser el valor catastral en el momento de la adquisición del terreno o los valores comparativos de compra y venta del mismo. De este modo, el impuesto sobre el incremento del valor de los terrenos de naturaleza urbana no pretende gravar la ganancia mercantil obtenida por el sujeto pasivo por comparación entre el precio de adquisición y el de venta, sino el valor estático o acumulado del inmueble. Por tanto, cuando se acredite en un caso concreto que no ha existido, en términos económicos y reales, un incremento de valor, no se habrá realizado el presupuesto de hecho del tributo. Sin embargo, cuando sí exista ese incremento, la forma de determinarlo será con arreglo “al porcentaje anual que determina cada ayuntamiento” (art. 107.4 TRLHL).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señala que este tributo, como concluyó la STC 59/2017, no es contrario a la Constitución con carácter general, sino únicamente en aquellos supuestos en los que somete a tributación situaciones inexpresivas de capacidad económica; esto es, aquellas que no presentan aumento de valor del terreno al momento de la transmisión. La misma sentencia declaró también plenamente válida la opción de política legislativa dirigida a someter a tributación los incrementos de valor mediante el recurso a un sistema de cuantificación objetiva de capacidades económicas potenciales, en lugar de hacerlo en función de la efectiva capacidad económica puesta de manifiesto por el contribuyente (fundamento jurídico 3). El fundamento del tributo no es, entonces, gravar el incremento “real” obtenido por diferencia entre los precios de venta y compra, sino gravar el incremento de valor del terreno derivado de la acción urbanística del municipio (art. 47 CE, informe de la Dirección General de Tributos de fecha 16 de abril de 2019 y sentencia de la Sala de lo Contencioso-Administrativo del Tribunal Supremo de fecha 5 de febrero de 2001). No se trata de gravar la “capacidad de pago” exteriorizada con la ganancia patrimonial por diferencia entre un precio de venta y un precio de compra (capacidad económica real), sino el beneficio recibido por el contribuyente durante un período de tiempo por la actuación de la corporación local calculado de forma objetiva; esto es, sin atender al efecto mercantil de obtención de renta (capacidad económica potencial). En definitiva, la regulación general del tributo no somete a tributación per se situaciones de hecho inexpresivas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adecuación de los preceptos cuestionados al principio de no confiscatoriedad, considera que este solo es predicable del sistema tributario en su conjunto y no de cada uno de sus tributos en particular (SSTC 150/1990, FJ 9; y 233/1999, FFJJ 23 y 39); además, no ha quedado acreditado que se haya producido el efecto de privación de toda la renta y del patrimonio del sujeto pasivo con el tributo aplicado o en conjunción con las restantes figuras impositivas. De hecho, en el caso concreto que es objeto del proceso judicial, la base imponible calculada en función del valor catastral al momento de la venta era de 15.569,71 €, de manera que al ser la cuota de 4.670,91 €, la presión soportada ha sido en torno al 30 por 100. En consecuencia, dado que la supuesta inconstitucionalidad no puede deducirse sin más de la normativa aplicada, sino de su eventual y circunstancial aplicación al caso concreto y en el mismo no se ha producido un alcance confiscatorio, la cuestión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 de octubre de 2019, la fiscal general de Estado presentó sus alegaciones, concluyendo que “los arts. 107.1 y 107.2 a) TRLHL serían inconstitucionales en la medida en que someten a tributación situaciones de incrementos de valor que vulneran los principios de capacidad económica y de no confiscatoriedad del art. 31.1 CE”. Tomando como referencia la doctrina de este Tribunal Constitucional relativa al principio de capacidad económica, subraya que en el caso planteado no se está ante una riqueza inexistente, al haberse producido —como el propio promotor de la cuestión reconoce— una ganancia para el contribuyente. Se está en presencia, entonces, de una situación en la que se ha puesto de manifiesto una capacidad económica susceptible de ser sometida a tributación. No se discute, por tanto, la existencia de un incremento de valor del terreno en el momento de la transmisión, sino el cálculo de la base imponible conforme a las reglas del impuesto que ha provocado que la cuota a pagar sea superior al incremento de valor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la fiscal general del Estado hay que analizar si, existiendo un incremento de valor real inferior al derivado de aplicar las reglas objetivas de cálculo del impuesto, se estaría gravando una renta en parte inexistente, de manera que se estaría haciendo tributar al sujeto pasivo por una capacidad económica objetiva no coincidente con la realmente puesta de manifiesto (en el caso que subyace en el proceso, mientras que el beneficio real obtenido por el contribuyente fue de 3.000 €, sin embargo, la base imponible calculada legalmente ascendió a 15.569,71 €, siendo la cuota pagada de 4.670,91 €). De esta manera, las reglas de determinación de la base imponible han atribuido al sujeto pasivo una capacidad económica superior al beneficio realmente obtenido, viéndose obligado a soportar una carga tributaria ajena al quantum real del incremento de valor que le ha supuesto la venta del inmueble, para terminar tributando, en parte, por una riqueza inexistente. Así las cosas, si el sujeto pasivo debe cumplir con su obligación de contribuir “exclusivamente de acuerdo con su capacidad económica” (STC 26/2017, FJ 2), la forma de cuantificar la base imponible, lejos de respetar el principio de capacidad económica, obliga a tributar por una riqueza imponible que, existiendo, no se adecua a la realmente derivada de la transmisión del inmueble, sometiendo a tributación una riqueza que, aun siendo existente, es en parte virtual o ficticia.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situación encontraría solución si se posibilitase la prueba de la plusvalía realmente producida en el momento de la transmisión del inmueble, facilitando al sujeto pasivo acreditar incrementos de valor inferiores a los que resultan de la aplicación de las reglas de cálculo de la base imponible; y, sobre todo, si se tiene en cuenta que la STC 59/2017 declaró inconstitucional la regla del art. 110.4 TRLHL, “al impedir a los sujetos pasivos que pu[diesen] acreditar la existencia de una situación inexpresiva de capacidad económica” [fundamento jurídico 5 b)]. Por tanto, la posibilidad de habilitar al sujeto pasivo para acreditar incrementos de valor inferiores a los que resultan de la aplicación de las reglas de cálculo de la base imponible permitiría adecuar la cuantificación del hecho imponible y, por tanto, de la capacidad económica gravada, a la plusvalía real generada en el momento de la transmisión. Sin embargo, dado que deben observarse las reglas legales de cálculo de la base imponible, se producen situaciones que desconocen la capacidad económica real del contribuyente y, por ende, el principio de capacidad económica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la posible vulneración de la prohibición de confiscatoriedad, la fiscal general del Estado señala que dicho principio se vulnera, conforme a la doctrina constitucional, bien cuando con la aplicación de las diversas figuras tributarias se llegara a privar al sujeto pasivo de sus rentas y propiedades, bien cuando un tributo agotase la riqueza imponible so pretexto del deber de contribuir al sostenimiento de los gastos públicos, o bien cuando sometiese a gravamen una riqueza inexistente en contra del principio de capacidad económica (STC 26/2017, FJ 2). Pues bien, referido el principio de no confiscatoriedad al conjunto del sistema tributario, se vulneraría cuando se prive al sujeto pasivo de sus rentas y propiedades, consideradas en tu totalidad, lo que, a su juicio, no es el caso. Y referido el citado principio a la óptica de cada tributo o figura impositiva, la supuesta confiscatoriedad derivaría de que la cuota a pagar superó beneficio obtenido por el sujeto pasivo con la venta del inmueble, lo que agotó la riqueza imponible, debiendo analizarse la cuestión, también, desde la óptica del principio de proporcionalidad, que pretende evitar el exceso en la imposición. Sobre este particular considera que una imposición excesiva sería contraria al derecho que les asiste a los sujetos tributarios de que la carga tributaria que deban soportar se adecue a los principios de capacidad económica, progresividad y no confiscatoriedad. Y, a su juicio, resulta evidente que en aquellos supuestos en los que la carga impositiva es desmedida en relación con la riqueza real obtenida con la transmisión, se produce una desproporción entre la riqueza realmente obtenida y la efectivamente gravada conforme las reglas del impuesto, lo que provoca un sacrificio excesivo del derecho del contribuyente que contradice su derecho a tributar con arreglo a su capacidad económica y sin que el tributo tenga un alcance confiscatorio.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para la fiscal general del Estado, aunque el órgano judicial hace referencia tanto a la posible afectación por el impuesto aplicado del principio de progresividad, así como a la inflación como elemento que reforzaría la infracción del principio de capacidad y el carácter confiscatorio de la cuota, si se actualizara el valor de adquisición conforme a la misma, ni una ni otra cuestión fueron planteadas a las partes y al Ministerio Fiscal en el trámite de audiencia previo a la promoción de la presente cuestión, por lo que debe decaer su análisis. En cualquier caso, —añade— respecto del principio de progresividad, de conformidad con la doctrina de este Tribunal Constitucional, es predicable del sistema impositivo en general (SSTC 76/1990 y 150/1990), lo que supondría que la progresividad debe contemplar la totalidad de la situación económica del sujeto pasivo (renta, patrimonio y consumo). Además, dado que el grado de progresividad de cada tributo debe determinarse en función de la base imponible (STC 45/1989, FJ 4), el análisis de las reglas de cálculo de la cuota tributaria del impuesto analizado denota que, a mayor base imponible, esto es, a mayor capacidad económica, la cuota a pagar, en igualdad de condiciones, aumenta para aquellos contribuyentes cuyo incremento de valor es superior, satisfaciendo con ello el criterio de progresividad.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de la inflación, señala que, aun siendo cierto que el legislador no ha previsto la corrección monetaria del valor de adquisición dada la actualización periódica del valor catastral de los inmuebles mediante los coeficientes que se contienen en los presupuestos generales del Estado, sin embargo, solo a aquel le corresponde la determinación de los elementos esenciales del tributo (como el hecho imponible, la base imponible, el tipo de gravamen y la cuota tributaria), de modo que el promotor de la cuestión indirectamente estaría propugnando un método de cálculo ajeno al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fiscal general de Estado el art. 107 TRLHL es inconstitucional en la medida en que somete a tributación situaciones de incrementos de valor en contra de los principios de capacidad económica y no confiscatoriedad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15 de octubre de 2019 se aceptó la abstención de don Juan Antonio Xiol Ríos, en consideración a su comunicación de 30 de septiembre anterior, al concurrir en el la causa prevista en el art. 219.10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31 de octubre de 2019 se ha dictado la STC 126/2019 por la que se resuelve la cuestión de inconstitucionalidad núm. 1020-2019, en razón de la cual el conocimiento de la presente cuestión había sido deferida a la Sala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Juzgado de lo Contencioso-Administrativo núm. 2 de Zaragoza plantea una cuestión de inconstitucionalidad en relación con los arts. 107.1, párrafo segundo, 107.2 a) y 107.8, y por conexión, 108.1 párrafo segundo, y 108.2, todos ellos del texto refundido de la Ley reguladora de las haciendas locales, aprobado por el Real Decreto Legislativo 2/2004, de 5 de marzo (TRLHL), por posible contradicción con los principios de capacidad económica, progresividad y prohibición de confiscatoriedad, previstos en el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se han recogido en los antecedentes, el abogado del Estado solicita que la cuestión sea desestimada. Por su parte, la fiscal general del Estado interesa su estimación, al entender vulnerados los principios de capacidad económica y prohibición de confiscatoriedad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resulta necesario hacer dos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el auto de planteamiento cita entre los preceptos cuestionados el art. 107.8 TRLHL, lo que se trata de un error toda vez que el citado art. 107 ni ha tenido ni tiene un apartado ocho (se divide en solo cuatro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aunque el auto vincula sus dudas con el contenido de los arts. 107.1, párrafo segundo, 107.2 a) y, por conexión, con los arts. 108.1, párrafo segundo, y 108.2 TRLHL, de la argumentación que desarrolla se infiere que es la forma de cálculo del impuesto que regula el art. 107.4 TRLHL la que realmente considera contraria al art. 31.1 CE, pues en tal precepto es donde se recogen los porcentajes de incremento que, multiplicados por el valor catastral del terreno urbano en el momento de la transmisión, determinan que la cuota del tributo pueda llegar a superar el incremento de valor realmente obtenido. Por tanto, nuestro análisis debe circunscribirse a dicho art. 107.4 TRLHL.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en la STC 126/2019, de 31 de octubre, se ha resuelto la cuestión de inconstitucionalidad núm. 1020-2019, sustancialmente igual a la aquí planteada, referida a un caso en el que el impuesto sobre el valor de los terrenos de naturaleza urbana resultante del sistema de cálculo previsto en el art. 107 TRLHL, en concreto en su apartado 4, era —como en el presente— superior al incremento patrimonial obtenido. En dicho pronunciamiento se declara que el art. 107.4 TRLHL es inconstitucional por vulnerar el principio de capacidad económica y la prohibición de confiscatoriedad, consagrados en el art. 31.1 CE, en aquellos supuestos en los que la cuota a pagar es superior al incremento patrimonial obtenido por el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jurídico 5 a) de la citada STC 126/2019 concreta su alcance y efectos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inconstitucionalidad no puede serlo, sin embargo, en todo caso, lo que privaría a las entidades locales del gravamen de capacidades económicas reales. En coherencia con la declaración parcial de inconstitucionalidad que hizo la STC 59/2017, el art. 107.4 TRLHL debe serlo únicamente en aquellos casos en los que la cuota a satisfacer es superior al incremento patrimonial realmente obtenido por el contribuyente. Eso sí, la inconstitucionalidad así apreciada no puede extenderse, sin embargo, como pretende el órgano judicial, al art. 108.1 TRLHL (tipo de gravamen), pues el vicio declarado se halla exclusivamente en la forma de determinar la base imponible y no en la de calcular la cuota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añadirse una precisión sobre el alcance concreto del fallo. Por exigencia del principio de seguridad jurídica (art. 9.3 CE), y al igual que hemos hecho en otras ocasiones (por todas, SSTC 22/2015 de 16 de febrero, FJ 5, y 73/2017, de 8 de junio, FJ 6), únicamente han de considerarse situaciones susceptibles de ser revisadas con fundamento en esta sentencia aquellas que, a la fecha de publicación de la misma, no hayan adquirido firmeza por haber sido impugnadas en tiempo y forma, y no haber recaído todavía en ellas una resolución administrativa o judicial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sido declarado inconstitucional el art. 107.4 TRLHL, en los términos que se acaban de exponer, la duda planteada por el órgano judicial ha quedado disipada, por lo que la presente cuestión de inconstitucionalidad ha perdido su objeto, conforme a la reiterada doctrina de este Tribunal [SSTC 47/2017, de 27 de abril, FJ 3 c); 49/2017, de 8 de mayo, FJ 4; 55/2017, de 11 de mayo, FJ 3 c), y 60/2018, de 4 de junio,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declarar la pérdida sobrevenida del objeto de la presente cuestión de inconstitucionalidad núm. 3680-2019.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