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2003-2019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2003-2019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57-2018 seguido en el Juzgado de Primera Instancia e Instrucción núm. 6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entidad mercantil Euroinversiones Inmobiliarias Costa Sur, S.L., representada por la procuradora de los tribunales doña Blanca Berriatua Horta, con asistencia letrada de don Marcelino Gilabert García, solicita la suspensión del proceso de ejecución hipotecaria núm. 57-2018 tramitado por el Juzgado de Primera Instancia e Instrucción núm. 6 de Lorca. Lo hace por otrosí en el escrito de 27 de marzo de 2019 por el que interpone recurso de amparo contra los autos de 17 de septiembre de 2018 y 11 de febrero del año siguiente recaídos en aquel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sobre la medida cautelar solicitada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6 de Lorca se sigue procedimiento de ejecución hipotecaria núm. 57-2018 promovido por la entidad Banco de Sabadell, S.A., frente a las sociedades Euroinversiones Inmobiliarias Costa Sur, S.L., en calidad de prestataria e hipotecante, y Penrei Inversiones, S.L., en calidad de titular del derecho uso del inmueble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Despachada ejecución por auto de 29 de mayo de 2018, las sociedades demandadas fueron requeridas y notificadas el 30 del mismo mes a través de la Sede Judicial Electrónica.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26 de julio de 2018, las sociedades demandadas formulan oposición a la ejecución despachada. Por auto de 17 de septiembre del mismo año fue inadmitida por extemporánea, tomando como fecha de notificación el 30 de mayo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ejecutada Euroinversiones Inmobiliarias Costa Sur, S.L., interpone recurso de reposición. Alega que las diligencias de notificación y requerimiento se realizaron el 15 de julio de 2018. La comunicación remitida a través de la dirección electrónica habilitada no sería más que un aviso de puesta a disposición o descarga de su contenido durante un plazo determinado. Entenderlo de otro modo vulneraría el art. 24 CE, además de los arts. 135, 152, 160, 162 de la Ley 1/2000, de 7 de enero,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desestimado por auto de 11 de febrero de 2019. El órgano judicial razona a la vista del art. 43 de la Ley 39/2015, de 1 de octubre, de procedimiento administrativo común, que la sociedad demandada contaba con diez días para acceder al contenido de la resolución y, con ello, para tenerse por notificada. En el presente caso, el 30 de mayo de 2018 la notificación estaba ya disponible. El escrito de oposición se formuló el 26 de julio y, por tanto, claramente fuera del plazo establecido en el art. 556.1 LEC (diez días desde la notificación del auto que despacha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 la tutela judicial efectiva y a un proceso con garantías y sin indefensión (art. 24.1 y 2 CE). La interpretación de la legislación procesal, realizada a partir de una ley de procedimiento administrativo, habría privado injustamente a la recurrente de su derecho a formular oposición a la ejecución hipotecaria. Tratándose de un primer emplazamiento, debió realizarse del modo tradicional (art. 273 LEC). El órgano judicial habría incumplido su obligación de asegurar, no ya la legalidad formal de los actos de comunicación, sino el cumplimiento efectivo de su finalidad constitucional. La demanda solicita por otrosí la suspensión del proceso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septiembre de 2019, la Sección Segunda de este Tribunal acuerda admitir a trámite el recurso y dirigir comunicación al Juzgado de Primera Instancia e Instrucción núm. 6 de Lorca, a fin de que, en el plazo de diez días, remita certificación o fotocopia adveradas de las actuaciones correspondientes a los autos de ejecución hipotecaria y emplace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acuerda formar la oportuna pieza para la tramitación del incidente de suspensión y, conforme a lo dispuesto en el art. 56 de la Ley Orgánica del Tribunal Constitucional (LOTC), concede un plazo común de tres días a la parte recurrente y al ministerio fiscal para que aleguen lo que estimen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20 de septiembre de 2019, la demandante de amparo insiste en que la ejecución se ha despachado con vulneración de su derecho a la tutela judicial efectiva. Añade que la doctrina constitucional ha accedido a suspender ejecuciones hipotecarias en otros casos y que no hacerlo en el presente conduciría a situaciones irreversibles con inevitables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30 del mismo mes, el ministerio fiscal interesa que se acuerde la anotación preventiva de la demanda en el registro de la propiedad, por más que no haya sido solicitada. Tras exponer la doctrina constitucional sobre suspensión de resoluciones impugnadas, considera que, de no adoptarse la anotación preventiva de la demanda, la tutela que el Tribunal pudiera otorgar corre el riesgo de ser incompleta; dejaría abierta la posibilidad de que la finca sea transmitida a un tercero de buena fe mientras se sustancia y resuelve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Personada en las actuaciones principales la entidad Pera Assets Designated Activity Company, el secretario de justicia de la Sala Primera, mediante diligencia de ordenación de 21 de octubre de 2019, le concede un plazo de tres días para alegar en relación con la petición de suspensión interesada por la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de 28 de octubre de 2019, la entidad Pera Assets Designated Activity Company, representada por la procuradora de los tribunales, doña Blanca María Grande Pesquero, afirma que Banco Sabadell le ha cedido el crédito hipotecario y que, en virtud del régimen de sucesión procesal, las actuaciones deben continuarse con ella. Tras ello se opone a la suspensión solicitada a la vista de la doctrina constitucional, la vaguedad de la petición formulada, la mala fe procesal demostrada y el no ofrecimiento de un principio razonable de prueba ni caución o fianza razonable.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resolver sobre la procedencia de la medida cautelar instada por la parte recurrente en amparo y dirigida frente al procedimiento de ejecución hipotecaria núm. 57-2018 seguido en el Juzgado de Primera Instancia e Instrucción núm. 6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se configura como una medida de carácter excepcional y de aplicación restrictiva (por todos, AATC 117/2015, de 6 de julio, FJ 1, y 59/2017, de 24 de abril, FJ 1).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Debe mostrar que la ejecución del acto recurrido puede privar a la demanda de amparo de su finalidad, provocando que el restablecimiento del recurrente en el derecho constitucional vulnerado sea tardío y convirtiendo en meramente ilusorio y nominal el amparo impetrado [AATC 51/1989, de 30 de enero, 144 290/1995, de 23 de octubre, 370/1996, de 16 de diciembre, 283/1999, de 29 de noviembre, 90/2014, de 27 de marzo, FJ 1; 190/2015, de 5 de noviembre, FJ 2 a); 59/2017, de 24 de abril, 146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150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 situación,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lo reputa idóneo para evitar el perjuicio derivado de que la adquisición del bien por tercero lo haga irreivindicable. Esta ha sido la solución acogida recientemente, entre otros, en los AATC 2/2019, 178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188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192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57-2018 seguido en el Juzgado de Primera Instancia e Instrucción núm. 6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