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171</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6037-2018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6037-2018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96-2018 seguido en el Juzgado de Primera Instancia e Instrucción núm. 3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16 de noviembre de 2018, la procuradora de los tribunales doña Blanca Berriatua Horta, en representación de la entidad Penrei Inversiones, S.L., y bajo la dirección de la letrada doña Anju Nirmala Benavent Rodríguez , interpuso recurso de amparo contra el auto del Juzgado de Primera Instancia e Instrucción núm. 3 de Lorca de 28 de septiembre de 2018, por el que se desestima el recurso de reposición interpuesto contra el auto de 10 de julio de 2018, por el que se inadmite el escrito de oposición a la ejecución hipotecaria en el procedimiento de ejecución hipotecaria núm. 96-2018.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del procedimiento de ejecución hipotecaria alegando que “la continuación de la ejecución derivada de los pronunciamiento judiciales que han sido objeto de impugnación, con la celebración de subasta y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sendas providencias el 28 de octubre de 2019, acordó, en la primera, entre otros aspectos, la admisión a trámite de la demanda de amparo y la formación de pieza separada para la sustanciación del incidente de suspensión; y, en la segunda, formar la oportuna pieza para la tramitación del incidente sobre suspensión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8 de noviembre de 2019, la entidad demandante presentó alegaciones reiterando su solicitud de suspensión, insistiendo en que con la celebración de la subasta y la eventual adjudicación a terceros o a la entidad ejecutante el recurso de amparo perdería su finalidad y le provocaría perjuicios patrimoniales de imposible o difícil reparación. También pone de manifiesto que la posible adjudicación del bien inmueble a terceros de buena fe conllevaría a situaciones irreversibles.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15 de noviembre de 2019, presentó alegaciones interesando que se deniegue la suspensión, pero que se acuerde la anotación preventiva de la demanda de amparo, argumentando que la petición de suspensión del procedimiento ejecutivo no parece muy fundamentada y que el efecto protector deseado por la entidad demandante frente a la posible adjudicación a un tercero de buena fe del bien subastado se obtendría de manera mucho más eficaz mediante la anotación preventiva de la demanda de amparo en el registro de la propiedad.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96-2018 seguido en el Juzgado de Primera Instancia e Instrucción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dicha entidad mercantil, como tampoco sobre las características, destino y estado posesorio del inmueble hipotecado. En tales circunstancias, no es posible afirmar que la continuación del curso del procedimiento judicial, incluso con un desplazamiento posesorio,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y 2/2019, de 9 de enero, FJ 4, así como en el ATC 85/2019, de 15 de julio, a propósito de otro procedimiento hipotecario seguido ante el Juzgado núm. 3 de Lorca, donde se plantearon los mismos argumentos que aquí para solicitar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96-2018 seguido en el Juzgado de Primera Instancia e Instrucción núm. 3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