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marzo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6089-2019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6089-2019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365-2018, seguido en el Juzgado de Primera Instancia e Instrucción núm. 5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25 de octubre de 2019 tuvo entrada en el registro general del Tribunal Constitucional un escrito de la procuradora de los tribunales doña Blanca Berriatua Horta, en representación de la entidad Euroinversiones Inmobiliarias Costa Sur, S.L., por el que interpuso recurso de amparo contra el auto de 10 de septiembre de 2019 del Juzgado de Primera Instancia e Instrucción núm. 5 de Lorca, que desestima el recurso de reposición interpuesto por la ahora actora frente al auto de 21 de septiembre de 2018, que inadmitió por extemporánea la demanda de oposición presentada en el seno de la ejecución hipotecaria 365-2018, promovida por Banco de Sabadell,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21 de septiembre de 2018, el Juzgado de Primera Instancia e Instrucción núm. 5 de Lorca dictó un auto en el procedimiento de ejecución hipotecaria núm. 365-2018 por el que acordó: “Inadmitir a trámite la oposición formulada por la parte ejecutada Euroinversiones Inmobiliarias Costa Sur, S.L.”, advirtiendo en pie de recurso que contra dicha resolución cabía recurso de reposición.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basó su decisión, conforme a su fundamento de Derecho único, en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establece en el artículo 134 de la L.E.C., la improrrogabilidad de los plazos establecidos en la misma, y en el artículo 136 de la L.E.C., que transcurrido o pasado el término señalado para la realización de un acto procesal de parte se producirá la preclusión y se perderá la oportunidad de realizar el acto de que se trate.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Establece el artículo 695 de la L.E.C., que la parte ejecutada puede oponerse al despacho de ejecución en los términos de dicho artículo y en el plazo de díez días a contar desde el siguiente a la notificación del auto y del decreto. Constando en el presente supuesto que la parte ejecutada se ha opuesto una vez transcurrido el plazo que legalmente se le otorga, debe ser inadmitida su oposición por extemporánea, de conformidad con lo establecido en los preceptos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Formalizado contra dicho auto recurso de reposición por la entidad aquí demandante de amparo, el juzgado a quo dictó auto el 10 de septiembre de 2019 desestimándolo, con confirmación de la resolución recurrida, en virtud de los motivos expresados en su razonamiento jurídico segundo: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consta que la notificación se puso a disposición de las recurrentes en fecha 13 de junio de 2018 no accediendo al contenido hasta el día 24 de julio de 2018 (fuera de los tres días que establece la normativa procesal), presentando los escritos de oposición a la ejecución en fecha 3 de septiembre de 2018 claramente fuera del plazo legalmente establecido en el art. 556. 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traía el siguiente pie de recurso: “Notifíquese esta resolución a las partes personadas, haciéndoles saber que es firme, y contra la misma no cabe recurso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las resoluciones judiciales impugnadas causan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tratándose de su primer emplazamiento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reconoce que, si bien la recurrente, por ser una persona jurídica, viene por ello obligada a relacionarse con la administración de justicia a través de medios electrónicos, no obstante cuando es el primer emplazamiento y, por tanto, todavía aquélla “no ha tenido ninguna relación con el juzgado correspondiente en este especial y concreto procedimiento”, ha de practicarse mediante cédula con entrega en papel de la documentación correspondiente, conforme establece el art. 273 LEC, en relación con los arts. 135, 152, 162 y 155 de la misma LEC. Este último, precisa, “es categórico al respecto ya que en su punto primero nos indica que cuando las partes no actúen representadas por procurador o se trate del primer emplazamiento o citación al demandado, los actos de comunicación se harán por remisión al domicilio de los litigantes”. Añade que incluso la notificación realizada tampoco cumple con las formalidades de las comunicaciones electrónicas. Pese a todo esto, el auto dictado por el juzgado el 21 de septiembre de 2018 declaró extemporánea la presentación del escrito de oposición, computando el plazo de diez días desde la fecha de envío de aquel correo a través de la dirección electrónica habilitada.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el auto de 21 de septiembre de 2019, que desestimó la reposición, se rechaza por la recurrente que haya fundamentado su decisión en la Ley de procedimiento administrativo común, “que consideramos inaplicable al ámbito procesal civil, puesto que además de existir normas concretas al respecto, no se dan en uno y otro ámbito las mismas garantías procedimentales”; siendo que en materia de notificación de actos procesales existe su propia normativa tanto en la Ley de enjuiciamiento civil —los artículos arriba citados—, como en el haz de garantías del propio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 solicita que este Tribunal Constitucional, con estimación del amparo, acuerde la nulidad de ambas resoluciones judiciales y ordene reponer las actuaciones al momento previo al dictado de la primera de aquéllas, a fin de que el juzgado a quo admita a trámite la “oposición al despacho de ejecución formulada por Euroinversiones Inmobiliarias Costa Sur, S.L.”.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 de los pronunciamientos judiciales que han sido objeto de impugnación, con la celebración de subasta y la eventual adjudicación a terceros, pueden hacer perder al recurso de amparo su finalidad, por lo que solicito la suspensión de la continuación del procedimiento de ejecución hipotecaria 365-2018 seguido ante el Juzgado de Primera Instancia e Instrucción número 5 de Lorca, hasta tanto sea resuelto el presente recurso de amparo, poniéndolo en conocimiento del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Sección Cuarta, de este Tribunal Constitucional, dictó providencia el 11 de febrero de 2020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porque el recurso plantea un problema o afecta a una faceta de un derecho fundamental sobre el que no hay doctrina de este Tribunal [STC 155/2009, FJ 2 a)], así como que el recurso puede dar ocasión al Tribunal para aclarar o cambiar su doctrina, como consecuencia de cambios normativos relevantes para la configuración del contenido del derecho fundamental [STC 155/2009,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51 LOTC, diríjase atenta comunicación al Juzgado de Primera Instancia e Instrucción núm. 5 de Lorca a fin de que, en méritos al procedimiento de ejecución hipotecaria núm. 365-2018, proceda a emplazarse, para que en el plazo de diez días, puedan comparecer, si lo desean, en el recurso de amparo a quienes hubieran sido parte en el procedimiento, excepto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la solicitud de la parte actora, fórmese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nueva providencia dictada por la Sección Cuarta de este Tribunal en la misma fecha de la admisión del recurso, el 11 de febrero de 2020,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la entidad recurrente presentó su escrito de alegaciones con fecha 14 de febrero de 2020, interesando se acceda a lo solicitado en cuanto a la suspensión del procedimiento de ejecución hipotecaria referido.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alega que la continuación de tal procedimiento, “con la celebración de subasta y la eventual adjudicación a terceros harían perder al recurso de amparo su finalidad y provocarían perjuicios patrimoniales para mi representada de imposible o difícil reparación”. Invoca a su favor lo resuelto por este Tribunal en su ATC 287/2013, de 16 de diciembre, reiterando a renglón seguido las vulneraciones constitucionales de fondo que aduce en su demanda, e indicando que de celebrarse la subasta y la posible adjudicación del bien inmueble a terceros de buena fe, con “desposesión del bien ejecutado, conllevaría a situaciones irreversibles, con un inevitable perjuicio para mi representada”.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fiscal ante este Tribunal Constitucional formalizó su escrito de alegaciones en esta pieza el 25 de febrero de 2020, interesando que se adopte únicamente la medida de anotación preventiva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cita del art. 56.1 LOTC y destacar la necesidad de acreditar por el interesado la existencia de un perjuicio irreparable, para poder acordarse la suspensión de los actos impugnados en amparo, sostiene el fiscal que, en el presente caso, la suspensión solicitada comportaría la paralización del procedimiento ejecutivo que, por su propia naturaleza, goza de las características de celeridad y sumariedad pero, también es obvio que, de continuar al procedimiento, este acabará con la subasta del bien hipotecado y con la eventual adjudicación a un tercero de buena fe, lo que haría irreversible esa situación aun cuando el amparo solicitado prosperara. Para conseguir el efecto protector deseado por la recurrente y enervar los indeseados efectos de la paralización del procedimiento, se puede acordar la anotación preventiva de la demanda de amparo en el registro de la propiedad, ya que de esta manera se daría publicidad frente a terceros de la pendencia del recurso, lo que conlleva el conocimiento de los efectos que sobre la titularidad de la vivienda puede tener el otorgamiento del amparo en su caso, evitando que el hipotético tercero adquirente queda especialmente protegido por su buena fe en la adquisición.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Insiste finalmente en que es procedente la medida de anotación preventiva, lo que puede adoptar este Tribunal, de oficio o a instancia de parte, de conformidad con lo dispuesto en el art. 42.1 de la Ley hipotecaria.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365-2018 seguido en el Juzgado de Primera Instancia e Instrucción núm. 5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25 de febrero, FJ 2; 74/2013, de 8 de abril, FJ 2; 152/2013, de 8 de julio, FJ 2; 37/2014, de 10 de febrero, FJ 2; 282/2014, de 17 de noviembre, FJ 3,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el fiscal, que resulta improcedente la suspensión solicitada y, por el contrario, aparece como medida idónea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dicha entidad mercantil, como tampoco sobre las características, destino y estado posesorio del inmueble hipotecado. En tales circunstancias, no es posible afirmar que la continuación del curso del procedimiento judicial, incluso con un desplazamiento posesorio, provoque por sí solo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hiciera irreivindicable; situación a la que se hace referencia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FJ 3; 88/2018, de 17 de septiembre, FJ 5, y 2/2019, de 9 de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y que,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365-2018, seguido en el Juzgado de Primera Instancia e Instrucción núm. 5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marzo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