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520/95, interpuesto por don Francisco Giner Martínez, representado por el Procurador de los Tribunales don José Luis Barneto Arnaiz y defendido por el Letrado don Miguel Mancebo Monge, contra Sentencia de la Sala Tercera del Tribunal Supremo de 16 de enero de 1995, en recurso formulado contra la denegación por silencio administrativo, de la petición de reclamación de daños y perjuicios presentada ante el Ministerio de Relaciones con las Cortes y Secretaría del Gobierno. Han intervenido, el Ministerio Fiscal y el Abogado del Estado en defensa de la Administración demandada, siendo Ponente el Magistrado don Pedro Cruz Villalón,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17 de febrero de 1995, don Francisco Giner Martínez, bajo la representación procesal del Procurador de los Tribunales Sr. Barneto Arnaiz, interpuso demanda de amparo constitucional contra la Sentencia de la Sala Tercera del Tribunal Supremo (Sección Sexta), de 16 de enero de 1995, recaída en el recurso contencioso-administrativo núm. 193/90,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El ahora demandante de amparo presentó su reclamación indemnizatoria -nacida de la anterior resolución judicial- el día 6 de julio de 1988, esto es, un año y dos días después de la fecha de la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 administrativo que fue tramitado ante la Sala Tercera del Tribunal Supremo (Sección Sexta) y resuelto por Sentencia de 16 de enero de 1995,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pudieren derivar del pronunciamiento judicial (art. 1.969 y 1.971 C.C.).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o bien la fecha en que se publicó la Sentencia antecedente en el B.O.E., o en el último caso la de notificación al Colegio recurrente, fecha en que la Sentencia se hizo realmente pública. </w:t>
      </w:r>
    </w:p>
    <w:p w:rsidRPr="00C21FFE" w:rsidR="00F31FAF" w:rsidRDefault="00356547">
      <w:pPr>
        <w:rPr/>
      </w:pPr>
      <w:r w:rsidRPr="&lt;w:rPr xmlns:w=&quot;http://schemas.openxmlformats.org/wordprocessingml/2006/main&quot;&gt;&lt;w:lang w:val=&quot;es-ES_tradnl&quot; /&gt;&lt;/w:rPr&gt;">
        <w:rPr/>
        <w:t xml:space="preserve">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8 de mayo de 1995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la Sala Tercera del Tribunal Supremo para que remitiera en el plazo de diez días testimonio de las actuaciones, y procediera al emplazamiento del Abogado del Estado, con entrega de la copia del escrito de demanda, para que en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11 de septiembre de 1995, la Sección acordó tener por recibido el testimonio de las actuaciones remitidas por la Sala Tercera del Tribunal Supremo, así como tener por personado y parte al Abogado del Estado, que lo solicitó mediante escrito presentado en este Tribunal el 11 de mayo anterior.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al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tuvo su entrada en este Tribunal el 27 de septiembre de 1995, interesó la estimación de la demanda y consiguiente otorgamiento del amparo, anulando la Sentencia impugnada para que el TS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En opinión del Ministerio Público debe otorgarse el amparo solicitado, sin que constituya un obstáculo para ello el que este Tribunal mediante providencias dictadas por unanimidad haya inadmitido asuntos idénticos al presente por carecer de contenido constitucional al tratarse el tema debatido de un cuestión de legalidad ordinaria resuelto de manera razonable por el Tribunal Supremo. Como se dijo en los AATC 85/1992 y 338/1992, la virtualidad de las providencias se agotan en la inadmisión en ellas decretada. </w:t>
      </w:r>
    </w:p>
    <w:p w:rsidRPr="00C21FFE" w:rsidR="00F31FAF" w:rsidRDefault="00356547">
      <w:pPr>
        <w:rPr/>
      </w:pPr>
      <w:r w:rsidRPr="&lt;w:rPr xmlns:w=&quot;http://schemas.openxmlformats.org/wordprocessingml/2006/main&quot;&gt;&lt;w:lang w:val=&quot;es-ES_tradnl&quot; /&gt;&lt;/w:rPr&gt;">
        <w:rPr/>
        <w:t xml:space="preserve">Para el Fiscal es clara la concurrencia de un error patente en el Tribunal Supremo al fijar el dies a quo del cómputo del plazo, pues así debe calificarse la exigencia de que deba correrse un plazo antes que el hecho que lo motiva pueda llegar al conocimiento del recurrente. La lectura de la audiencia pública de la Sentencia no pasa de ser una ficción, como reconoce la propia Sala Tercera del Tribunal Supremo en su auto de 1 de julio de 1994, obrante en autos. </w:t>
      </w:r>
    </w:p>
    <w:p w:rsidRPr="00C21FFE" w:rsidR="00F31FAF" w:rsidRDefault="00356547">
      <w:pPr>
        <w:rPr/>
      </w:pPr>
      <w:r w:rsidRPr="&lt;w:rPr xmlns:w=&quot;http://schemas.openxmlformats.org/wordprocessingml/2006/main&quot;&gt;&lt;w:lang w:val=&quot;es-ES_tradnl&quot; /&gt;&lt;/w:rPr&gt;">
        <w:rPr/>
        <w:t xml:space="preserve">A este respecto, la redacción del art. 1969 del CC no deja lugar a la duda cuando afirma que el plazo para el ejercicio de las acciones se contará "desde el día que pudieron ejercitarse", y de acuerdo con lo dispuesto en el art. 40.3 de la L.R.J.A.E., debe concluirse que el hecho que motiva la indemnización es la Sentencia del T.S. de fecha 4 de julio de 1987.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Invocó, en apoyo de su tesis, la doctrina de este Tribunal relativa a la necesidad de interpretar las normas que regulan el acceso al proceso en la forma más favorable para su ejercicio (ATC 261/1992), tachando la interpretación del Tribunal Supremo de contraria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que tuvo su entrada en este Tribunal el 18 de septiembre de 1995,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la Sentencia del T.S. de 15 de octubre de 1990 y en las, al menos, sesenta y cinco Sentencias que se dictaron ese mismo año en el mismo sentido. </w:t>
      </w:r>
    </w:p>
    <w:p w:rsidRPr="00C21FFE" w:rsidR="00F31FAF" w:rsidRDefault="00356547">
      <w:pPr>
        <w:rPr/>
      </w:pPr>
      <w:r w:rsidRPr="&lt;w:rPr xmlns:w=&quot;http://schemas.openxmlformats.org/wordprocessingml/2006/main&quot;&gt;&lt;w:lang w:val=&quot;es-ES_tradnl&quot; /&gt;&lt;/w:rPr&gt;">
        <w:rPr/>
        <w:t xml:space="preserve">De acuerdo con esa doctrina, el hecho que motiva la indemnización, siguiendo la dicción del artículo 40.3 de la LRJAE (entonces vigente),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Cuando el Tribunal Supremo dicta la Sentencia en primera y por tanto única instancia, la Sentencia deviene firme el mismo día en que se dicta, por aplicación supletoria del art. 365 de la L.E.C., en relación con la Disposición adicional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21 de septiembre de 1990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w:t>
      </w:r>
    </w:p>
    <w:p w:rsidRPr="00C21FFE" w:rsidR="00F31FAF" w:rsidRDefault="00356547">
      <w:pPr>
        <w:rPr/>
      </w:pPr>
      <w:r w:rsidRPr="&lt;w:rPr xmlns:w=&quot;http://schemas.openxmlformats.org/wordprocessingml/2006/main&quot;&gt;&lt;w:lang w:val=&quot;es-ES_tradnl&quot; /&gt;&lt;/w:rPr&gt;">
        <w:rPr/>
        <w:t xml:space="preserve">La Sentencia del T.S. se apoya en el art. 1.969 del Código Civil,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w:t>
      </w:r>
    </w:p>
    <w:p w:rsidRPr="00C21FFE" w:rsidR="00F31FAF" w:rsidRDefault="00356547">
      <w:pPr>
        <w:rPr/>
      </w:pPr>
      <w:r w:rsidRPr="&lt;w:rPr xmlns:w=&quot;http://schemas.openxmlformats.org/wordprocessingml/2006/main&quot;&gt;&lt;w:lang w:val=&quot;es-ES_tradnl&quot; /&gt;&lt;/w:rPr&gt;">
        <w:rPr/>
        <w:t xml:space="preserve">El criterio seguido por el Tribunal Supremo viene confirmado por el art. 1.971 del Código Civil, que sorprendentemente y sin base alguna invoca la recurrente. Sin embargo, no cita el único precepto que pudiera favorecer su tesis (art. 1.968.2 del C.C.), que hace referencia al ejercicio de acciones "desde que lo supo el agraviado", ciertamente previsto para otro supuesto distinto.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formuló sus alegaciones mediante escrito que tuvo su entrada en este Tribunal el 29 de septiembre de 1995, en el que dió por reproducidas las formuladas en la demanda, destacando que hasta el día en que fue notificada a las partes personadas, la Sentencia del Tribunal Supremo de fecha 4 de julio de 1987, por la que se declaraba la nulidad de la O.M. de 10 de agosto de 1985, la citada resolución judicial únicamente podía ser conocida por quien la dictó. En consecuencia, fijar, como hace la Sentencia impugnada, el cómputo del plazo para recurrir, antes de que se pudiera tener noticia del hecho del que nace la acción, atenta directamente contra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citando en apoyo de su tesis el artículo 1969 del Código Civil que consagra el principio de que "no se puede ejercitar un derecho si se desconoce la existencia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fecha 11 de noviembre actual se acordó, conforme dispone el art. 10 k. de la LOTC y a propuesta de su Presidente, recabar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Asímismo por providencia de 25 de noviembre de 1997 el Pleno acordó señalar el día 27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520/95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520/95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