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en nombre de la sociedad «R. Calvo Martínez, Sociedad Limitada».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Luis Ortiz Cañavate y Puig-Mauri, en nombre y representación de la empresa «R. Calvo Martínez, Sociedad Limitada», interpone recurso de amparo con fecha de 29 de junio de 1987, frente a los Autos del Tribunal Central de Trabajo (TCT) de 9 de enero y 5 de mayo de 1987, dictados en procedimiento sobre recargo de prestaciones de Seguridad Social por infracción de medidas de seguridad e higiene. Invoca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de Magistratura de Trabajo núm. 13 de Madrid de 2 de diciembre de 1985 condenó a la empresa solicitante de amparo al abono de un recargo del 30 por 100 sobre las prestaciones de Seguridad Social por infracción de medidas de seguridad en caso de accidente de trabajo, estimando así parcialmente su demanda y reduciendo el recargo del 50 por 100 que previamente había establecido la Comisión Provincial de Evaluación de Incapacidades. Frente a esa resolución judicial, no obstante, la empresa interpuso recurso de suplicación, pidiendo la anulación completa del recargo. El recurso fue resuelto por Auto del TCT de 9 de enero de 1987, en el que se declaró desistida a la recurrente, por falta de consignación previa del depósito de 2.500 pesetas establecido en el art. 181 de la Ley de Procedimiento Laboral. Esa decisión fue confirmada por el Auto de 5 de mayo de 1987, que resolvía el recurso de súplica interpuesto por la empresa. 3. Contra esas decisiones del TCT se formula ahora recurso de amparo, por presunta vulneración del art. 24.1 de la Constitución. Para la entidad recurrente, el TCT ha utilizado en estos casos un criterio que «adolece de la falta de flexibilidad, razonabilidad y proporcionalidad tan reiteradamente expuesto por la doctrina constitucional», causando de ese modo indefensión y lesionando el derecho a la tutela judicial efectiva reconocido en el art. 24.1 de la Constitución. A juicio de la demandante de amparo, el criterio seguido por el TCT en este caso iría en contra, concretamente, de la doctrina del Tribunal Constitucional favorable a la interpretación flexible de las causas de inadmisión de los recursos y a la subsanación de los defectos o vicios procesales, manifestada, en especial, por la STC 162/1986, de 17 de diciembre; máxime cuando, según las alegaciones de la recurrente, la falta de consignación tuvo su origen en un error inducido por la resolución judicial de instancia, que, incumpliendo el mandato del art. 93 LPL, no indicó la necesidad de consignar el depósito para interponer recurso de suplicación. Solicita la recurrente, por todo ello, la nulidad de los Autos impugnados, el reconocimiento de su derecho a interponer válidamente recurso de suplicación, y la retroacción de las actuaciones judiciales al momento procesal oportuno para que pueda interponer ese recurso y, en consecuencia, obtener una resolución judicial sobre el fondo, 4. La Sección Tercera de este Tribunal, mediante providencia de 29 de julio de 1987, acordó tener por interpuesto recurso de amparo en nombre de la sociedad «R. Calvo Martínez, Sociedad Limitada», y, a tenor de lo dispuesto en el art. 50 de la LOTC, conceder un plazo común de diez días al Ministerio Fiscal y a la parte demandante para que alegaran lo que estimaran pertinente acerca de la posible existencia de los siguientes motivos de inadmisión: desestimación por Sentencia de este Tribunal de un recurso de amparo sustancialmente igual [art. 50.2 c) de la LOTC] y falta de invocación formal del derecho presuntamente lesionado tan pronto como hubo lugar para ello [art. 50.1 b) en relación con el art. 44.1 c) de la LOTC]. El Ministerio Fiscal presentó sus alegaciones con fecha de 17 de agosto de 1987. En ellas pone de relieve que la STC 70/1984, de 11 de junio, ha resuelto un supuesto «en abstracto sustancialmente idéntico», aunque no se puede deducir con precisión y claridad, en el caso actual, si la Sentencia de Magistratura de Trabajo advirtió o no al demandante de la necesidad de consignar el depósito establecido en el art. 181 de la LPL, ni tampoco si la entidad demandante litigaba o no con asistencia de Letrado. A todo ello añade que, a partir de la documentación aportada, no puede comprobarse si en el recurso de súplica se había invocado o no el derecho presuntamente lesionado, aunque, mientras no se demostrara lo contrario, hay que sostener que no se ha cumplido esa exigencia de la LOTC. Por todo ello, y a reserva de aquellas primeras consideraciones, entiende que concurren las causas de inadmisión previstas en el art. 50.2 b) en relación con el 50.1 b), y 50.1 b) en relación con el 44. 1 c), todos ellos de la LOTC, solicitando, en consecuencia, la inadmisión del recurso de amparo. La demandante de amparo presentó sus alegaciones con fecha de 11 de septiembre de 1987. Aduce, en primer lugar, que es cierta la similitud entre su demanda y el caso resuelto en la STC 70/1984 de este Tribunal; pero añade, para descartar la aplicación del art. 50.2 c) de la LOTC, que tras esa Sentencia ha entrado en vigor la reforma de la LEC (Ley 34/1984, de 6 de agosto), cuyo art. 1.710, aplicable supletoriamente al proceso laboral, no sólo ha introducido una regla expresa de subsanación, sino también ha originado en este Tribunal una doctrina antiformalista y flexibilizadora de las exigencias procesales, de la que se derivaría la obligación del Juez de favorecer la defensa de los derechos e intereses de la parte y de posibilitar la subsanación de los efectos formales (SSTC 60/1985, de 6 de mayo, y 162/1987, de 17 de diciembre). La STC 70/1984 sería contraria a esta nueva tendencia, lo cual descartaría su aplicación al caso. Alega, por otra parte, que en el recurso de súplica se había invocado el art. 24.1 de la Constitución, a cuyo efecto aporta la copia correspondiente; y solicita en definitiva la 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demandante de amparo ha justificado fehacientemente que en el recurso de súplica que en su momento interpuso frente al Auto del TCT de 9 de enero de 1987, invocó formalmente el derecho fundamental presuntamente lesionado, cumpliendo así lo dispuesto en el art.  44.1 c) de la LOTC. Con lo que desaparece esta causa de inadmisión de la demanda. No ocurre lo mismo, sin embargo, con el primer motivo de inadmisión advertido en nuestra providencia de 29 de julio de 1987, siendo plenamente aplicable a este recurso de amparo lo dispuesto en el art. 50.2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como reconoce la propia entidad demandante de amparo, y como ponen de relieve tanto el Ministerio Fiscal en su informe como el TCT en las resoluciones que ahora se impugnan, el Tribunal Constitucional ha desestimado mediante Sentencia «un recurso de amparo en supuesto sustancialmente igual», tal y como prescribe aquel precepto de la LOTC.  Entre el recurso resuelto por la STC 70/1984, de 11 de junio, y el actual se aprecia sin lugar a dudas la identidad sustancial exigida por el art. 50.2 c) de la LOTC: en ambos casos el proceso laboral fue iniciado para impugnar el recargo en las prestaciones de Seguridad Social por falta de medidas de seguridad; en ambos casos se impugna una resolución judicial de inadmisión del recurso en vía laboral por incumplimiento de lo dispuesto en el art. 181 de la LPL; y en ambos casos, por último, la resolución judicial de instancia omitió toda referencia a la necesidad de proceder al depósito previsto por ese precepto.  Son válidas, por tanto, para los dos supuestos, las consideraciones de la STC 70/1984, según la cual no puede calificarse de error disculpable la falta de cumplimiento de lo dispuesto en el art. 181 LPL que no haya venido inducida por un factor externo a la voluntad del recurrente, por la claridad de los términos legales; ni puede achacarse el error a la falta de mención de esa obligación en la resolución judicial de instancia, puesto que la simple omisión de ese dato no puede ser entendida en este caso como una indución al error, especialmente cuando la parte está asistida de Letrado. Es claro, por tanto, que, estando ocasionado únicamente por su falta de celo y diligencia, el error de la actual demandante en amparo no merecía la apertura de un trámite de subsanación; y no cabe apreciar, en consecuencia, lesión alguna del derecho a la tutela judicial por parte del TCT, que se ha limitado a aplicar estrictamente lo dispuesto en el art. 181 LPL, cuya constitucionalidad no se discute.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y frente a las últimas alegaciones de la entidad demandante, conviene recordar que, según ha declarado reiteradamente este Tribunal, la carga de la consignación exigida por el art. 181 LPL tiene fundamento, racionalidad y proporcionalidad suficiente para estimarla no opuesta a la Constitución ni eliminadora de la tutela judicial, porque como ya expuso la STC 53/1983, de 20 de junio. es una medida tendente a asegurar la seriedad de los recursos de corte extraordinario y reprimir la contumacia del litigante vencido, imponiendo con este designio una moderada carga que no afecta al contenido esencial del derecho (Sentencia 46/1984, de 28 de marzo).  Queda suficientemente clara, por tanto, la compatibilidad del depósito establecido en el art. 181 LPL con el derecho a la tutela judicial efectiva, sin que la reforma de la LEC operada por la Ley 34/1984 imponga en modo alguno la modificación de esta doctrina, que este Tribunal ha seguido aplicando reiteradamente (ATC de 4 de marzo de 1987, RA núm. 1.022/1986).  Si la regla del art. 181 LPL es compatible con lo dispuesto en el art. 24.1 de la Constitución, no hay ninguna duda de que el incumplimiento de la obligación de consignar es causa suficiente para declarar desierto el recurso, siempre que ello no haya venido provocado por la incidencia de factores externos a la voluntad del recurrente.  El incumplimiento de la obligación de consignar supone -por utilizar la terminología del propio art. 181 LPL-, el «desistimiento» del recurrente, con independencia de que, como este Tribunal ha reseñado en repetidas ocasiones, no se trate de un verdadero desistimiento -puesto que falta la necesaria declaración expresa de voluntad de abandonar el proceso-, sino más bien de una ruptura del proceso por causa imputable al recurrente (SSTC 19/1983, de 14 de marzo; 40/1983, de 18 de mayo, y 53/1983, de 20 de junio).  Esta doctrina constitucional sobre la obligación de consignar el depósito establecido en el art. 181 LPL, como requisito para interponer el recurso de suplicación, sería suficiente para romper la línea argumental sostenida por la entidad recurrente, que pretende apoyarse en otras declaraciones efectuadas por este Tribunal (con un sentido más genérico y referidas a supuestos distintos del que aquí se plantea), con el fin de extraer una regla general favorable a la subsanación de todos los defectos procesales; regla que ni siquiera en las SSTC 117/1986, de 13 de octubre, y 162/1987, de 17 de diciembre, se ha defendido con el carácter general e incondicionado que parece entender la recurrente, puesto que la posibilidad de abrir un trámite de subsanación a partir del art. 24.1 de la Constitución está siempre condicionada a la inexistencia de negligencia o error no disculpable en la actuación de quien pretende utilizar los cauces procesales.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en nombre de la sociedad «R. Calvo Martínez, Sociedad Limitada».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