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 providencia de fecha 15 de enero de 1998 acordada en el juicio de cognición 132/1944-B por el Juzgado de Primera Instancia núm. 2 de los de Valladolid, por la que se acuerda el lanzamiento de</w:t>
            </w:r>
          </w:p>
          <w:p w:rsidRPr="00D13423" w:rsidR="00AD51A7" w:rsidRDefault="00AD51A7">
            <w:pPr>
              <w:rPr/>
            </w:pPr>
            <w:r w:rsidRPr="&lt;w:rPr xmlns:w=&quot;http://schemas.openxmlformats.org/wordprocessingml/2006/main&quot;&gt;&lt;w:color w:val=&quot;800080&quot; /&gt;&lt;w:szCs w:val=&quot;24&quot; /&gt;&lt;/w:rPr&gt;">
              <w:rPr/>
              <w:t xml:space="preserve">los ocupantes del inmueble sito en la calle Infantería núm. 1, piso 4.º, letra A), y la entrega de su posesión al adjudicatario, condicionando dicha suspensión a la previa prestación de fianza por parte del demandante de amparo, en la cuantía, modalidad</w:t>
            </w:r>
          </w:p>
          <w:p w:rsidRPr="00D13423" w:rsidR="00AD51A7" w:rsidRDefault="00AD51A7">
            <w:pPr>
              <w:rPr/>
            </w:pPr>
            <w:r w:rsidRPr="&lt;w:rPr xmlns:w=&quot;http://schemas.openxmlformats.org/wordprocessingml/2006/main&quot;&gt;&lt;w:color w:val=&quot;800080&quot; /&gt;&lt;w:szCs w:val=&quot;24&quot; /&gt;&lt;/w:rPr&gt;">
              <w:rPr/>
              <w:t xml:space="preserve">y condiciones que establezca el Juez encargado de la ejecución para responder de los perjuicios económicos que pudieran ocasionarse con esta medida cautelar.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febrero de 1998 se registra en este Tribunal escrito firmado por la representación del recurrente por el que se interpone recurso de amparo contra el Auto de 19 de enero de 1998 dictado por la Sección Tercera de la Audiencia Provincial de Valladolid por el que se deniega la nulidad de las actuaciones practicadas en ejecución de sentencia dictada en juicio de cognición seguido contra la ex esposa del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que se resumen en lo que concierne al objeto del recurso: </w:t>
      </w:r>
    </w:p>
    <w:p w:rsidRPr="00C21FFE" w:rsidR="00AD51A7" w:rsidRDefault="00AD51A7">
      <w:pPr>
        <w:rPr/>
      </w:pPr>
      <w:r w:rsidRPr="&lt;w:rPr xmlns:w=&quot;http://schemas.openxmlformats.org/wordprocessingml/2006/main&quot;&gt;&lt;w:lang w:val=&quot;es-ES_tradnl&quot; /&gt;&lt;/w:rPr&gt;">
        <w:rPr/>
        <w:t xml:space="preserve">A) El recurrente se halla legalmente separado de su esposa desde noviembre de 1992, pese a lo cual no ha sido aún liquidado el patrimonio ganancial. De tal patrimonio forma parte la que fue vivienda familiar, sita en la calle Infantería de Valladolid, la ,cual usa y disfruta la ex esposa y sus cuatro hijos. </w:t>
      </w:r>
    </w:p>
    <w:p w:rsidRPr="00C21FFE" w:rsidR="00AD51A7" w:rsidRDefault="00AD51A7">
      <w:pPr>
        <w:rPr/>
      </w:pPr>
      <w:r w:rsidRPr="&lt;w:rPr xmlns:w=&quot;http://schemas.openxmlformats.org/wordprocessingml/2006/main&quot;&gt;&lt;w:lang w:val=&quot;es-ES_tradnl&quot; /&gt;&lt;/w:rPr&gt;">
        <w:rPr/>
        <w:t xml:space="preserve">B) En febrero de 1994, hace ya cuatro años, la ex esposa del demandante de amparo fue demandada civilmente, en calidad de titular y ocupante de la vivienda, con razón de ciertas goteras que se producían sobre la vivienda inferior y que el vecino (y demandante entonces) achacaba a defectos de la vivienda superior. </w:t>
      </w:r>
    </w:p>
    <w:p w:rsidRPr="00C21FFE" w:rsidR="00AD51A7" w:rsidRDefault="00AD51A7">
      <w:pPr>
        <w:rPr/>
      </w:pPr>
      <w:r w:rsidRPr="&lt;w:rPr xmlns:w=&quot;http://schemas.openxmlformats.org/wordprocessingml/2006/main&quot;&gt;&lt;w:lang w:val=&quot;es-ES_tradnl&quot; /&gt;&lt;/w:rPr&gt;">
        <w:rPr/>
        <w:t xml:space="preserve">En dicho procedimiento se discutió acerca de la causa de las goteras, y en la contestación de la demanda la ex esposa del recurrente alegó como excepción el litisconsortio pasivo necesario derivado de la copropiedad de la vivienda con «su marido» (en la contestación a la demanda no se expresó que estaban separados). La excepción fue desechada –ex art. 1.385 Código Civil–, y la demandada fue condenada a hacer las obras de reparación precisas que permitieran la reparación de la gotera. </w:t>
      </w:r>
    </w:p>
    <w:p w:rsidRPr="00C21FFE" w:rsidR="00AD51A7" w:rsidRDefault="00AD51A7">
      <w:pPr>
        <w:rPr/>
      </w:pPr>
      <w:r w:rsidRPr="&lt;w:rPr xmlns:w=&quot;http://schemas.openxmlformats.org/wordprocessingml/2006/main&quot;&gt;&lt;w:lang w:val=&quot;es-ES_tradnl&quot; /&gt;&lt;/w:rPr&gt;">
        <w:rPr/>
        <w:t xml:space="preserve">Como quiera que no las llevó a cabo voluntariamente pese a haber sido requerida al efecto, las obras se efectuaron por el actor a costa de la demandada, con un importe total de 58.000 pesetas, cuyo pago se exigió a la ex esposa, y como se negara a satisfacerlo, se trabó embargo sobre la propia vivienda para el pago de dicha cantidad. </w:t>
      </w:r>
    </w:p>
    <w:p w:rsidRPr="00C21FFE" w:rsidR="00AD51A7" w:rsidRDefault="00AD51A7">
      <w:pPr>
        <w:rPr/>
      </w:pPr>
      <w:r w:rsidRPr="&lt;w:rPr xmlns:w=&quot;http://schemas.openxmlformats.org/wordprocessingml/2006/main&quot;&gt;&lt;w:lang w:val=&quot;es-ES_tradnl&quot; /&gt;&lt;/w:rPr&gt;">
        <w:rPr/>
        <w:t xml:space="preserve">Dicho embargo no se notificó directamente al hoy recurrente, sino que se hizo a través de su ex cónyuge, sin que se practicara diligencia alguna para intentar la notificación personal a aquél. </w:t>
      </w:r>
    </w:p>
    <w:p w:rsidRPr="00C21FFE" w:rsidR="00AD51A7" w:rsidRDefault="00AD51A7">
      <w:pPr>
        <w:rPr/>
      </w:pPr>
      <w:r w:rsidRPr="&lt;w:rPr xmlns:w=&quot;http://schemas.openxmlformats.org/wordprocessingml/2006/main&quot;&gt;&lt;w:lang w:val=&quot;es-ES_tradnl&quot; /&gt;&lt;/w:rPr&gt;">
        <w:rPr/>
        <w:t xml:space="preserve">Dando por notificada la existencia del proceso y el embargo trabado al cónyuge copropietario, la ejecución siguió su curso, y, como quiera que la demandada se desentendió del procedimiento, la vivienda se sacó a subasta pública y se adjudicó a un tercero por un importe de 3.200.000 pesetas. </w:t>
      </w:r>
    </w:p>
    <w:p w:rsidRPr="00C21FFE" w:rsidR="00AD51A7" w:rsidRDefault="00AD51A7">
      <w:pPr>
        <w:rPr/>
      </w:pPr>
      <w:r w:rsidRPr="&lt;w:rPr xmlns:w=&quot;http://schemas.openxmlformats.org/wordprocessingml/2006/main&quot;&gt;&lt;w:lang w:val=&quot;es-ES_tradnl&quot; /&gt;&lt;/w:rPr&gt;">
        <w:rPr/>
        <w:t xml:space="preserve">C) Aprobado el remate y adjudicada la vivienda a un tercero, ya cuando fue a hacerse la entrega de la posesión, el 7 de octubre de 1996, se personó en el proceso el marido, poniendo de manifiesto que no había tenido noticia alguna del procedimiento. Por escrito de 28 de octubre de 1996, el marido- demandante de amparo solicitó formalmente al Juzgado la nulidad de la diligencia de embargo sobre la vivienda, o que ésta se le notificara personalmente a fin de poder participar en el proceso de ejecución y ejercer las acciones que entendiera oportunas en defensa de su derecho. Tal petición fue desestimada por el Juzgado, y en apelación por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del art. 24.1 C.E., al no haber sido llamado el demandante de amparo al proceso de ejecución de un bien del que es copropietario. </w:t>
      </w:r>
    </w:p>
    <w:p w:rsidRPr="00C21FFE" w:rsidR="00AD51A7" w:rsidRDefault="00AD51A7">
      <w:pPr>
        <w:rPr/>
      </w:pPr>
      <w:r w:rsidRPr="&lt;w:rPr xmlns:w=&quot;http://schemas.openxmlformats.org/wordprocessingml/2006/main&quot;&gt;&lt;w:lang w:val=&quot;es-ES_tradnl&quot; /&gt;&lt;/w:rPr&gt;">
        <w:rPr/>
        <w:t xml:space="preserve">Asimismo, y 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mediante providencia de fecha 11 de marzo de 1998, acordó admitir a trámite el recurso de amparo, y dirigir comunicación al órgano judicial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16 y 30 de marzo de 1998, el recurrente en amparo y el Ministerio Fiscal han presentado sus alegaciones en el incidente de suspensión, reiterando aquél lo expuesto en su escrito de demanda a la que añade una nueva circunstancia de hecho, según la cual el Juzgado responsable de la ejecución ha acordado suspender la ejecución de la entrega de la posesión de la vivienda al adjudicatario. El Ministerio Fiscal ha manifestado no oponerse al otorgamiento de la suspensión instada de los actos jurisdiccionales posteriores a las resoluciones impugnadas en esta sede.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ó 35/1996),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que la interposición del recurso de amparo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aun en este caso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también una delicada ponderación de los intereses generales o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aunque este Tribunal al pronunciarse sobre la suspensión no puede prejuzgar la cuestión principal del proceso de amparo, ha de ponderar los efectos que puedan derivarse de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574/1985 ó 275/1990).  Sólo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y 52/1989, entre otros), hemos accedido eventualmente a la suspensión.</w:t>
      </w:r>
    </w:p>
    <w:p w:rsidRPr="00C21FFE" w:rsidR="00AD51A7" w:rsidRDefault="00AD51A7">
      <w:pPr>
        <w:rPr/>
      </w:pPr>
      <w:r w:rsidRPr="&lt;w:rPr xmlns:w=&quot;http://schemas.openxmlformats.org/wordprocessingml/2006/main&quot;&gt;&lt;w:lang w:val=&quot;es-ES_tradnl&quot; /&gt;&lt;/w:rPr&gt;">
        <w:rPr/>
        <w:t xml:space="preserve">En el caso concreto que analizamos, como se ha expuesto en los antecedentes de esta resolución, el demandante de amparo, no ha participado en el proceso declarativo que llevó a la determinación de la cantidad adeudada, ni en el posterior proceso de ejecución de la sentencia condenatoria en el que, tras trabar embargo sobre un inmueble del que es cotitular, se ha adjudicado el mismo en pública subasta a un tercero para proveer al pago de la cantidad debida determinada en sentencia. El éxito del amparo –en el que se alega indefensión– conllevaría en este caso la participación del demandado en la fase previa del proceso sumario de ejecución, con intervención en el mismo y posibilidades de satisfacer la exigua deuda declarada en sentencia, lo que permitiría evitar el procedimiento de apremio sobre bien tan esencial como la propia vivienda.</w:t>
      </w:r>
    </w:p>
    <w:p w:rsidRPr="00C21FFE" w:rsidR="00AD51A7" w:rsidRDefault="00AD51A7">
      <w:pPr>
        <w:rPr/>
      </w:pPr>
      <w:r w:rsidRPr="&lt;w:rPr xmlns:w=&quot;http://schemas.openxmlformats.org/wordprocessingml/2006/main&quot;&gt;&lt;w:lang w:val=&quot;es-ES_tradnl&quot; /&gt;&lt;/w:rPr&gt;">
        <w:rPr/>
        <w:t xml:space="preserve">No puede olvidarse tampoco que la ejecución de la providencia impugnada mediante el lanzamiento supondría la materialización de la transmisión del dominio acordada con todas sus consecuencias creando una situación jurídica difícilmente reversible, lo que, sin duda, ha llevado al propio Juzgado ejecutante a acordar la suspensión provisional del lanzamiento. Tales circunstancias nos llevan a adoptar la medida cautelar pretendida. Ahora bien, en la medida en que con ello se hace inefectiva la tutela judicial obtenida por el actor en el proceso civil declarativo, se hace necesario un contrapeso para conseguir el justo equilibrio de los intereses en conflicto, mediante la exigencia de afianzamiento suficiente, cuya cuantía dejamos al prudente arbitrio del Juez encargado de llevar a puro y debido término lo decidido, quien habrá de concretar también la modalidad o modalidades en que aquel pueda materializarse dentro de las admitidas en Derecho, para asegurar a la contraparte la eventual indemnización de los perjuicios que pudiera sufrir como consecuencia de la medida cautelar adoptada y del retraso en la ejecución, si al final de este proceso fuera desestimado 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 providencia de fecha 15 de enero de 1998 acordada en el juicio de cognición 132/1944-B por el Juzgado de Primera Instancia núm. 2 de los de Valladolid, por la que se acuerda el lanzamiento de</w:t>
      </w:r>
    </w:p>
    <w:p w:rsidRPr="" w:rsidR="00AD51A7" w:rsidRDefault="00AD51A7">
      <w:pPr>
        <w:rPr/>
      </w:pPr>
      <w:r w:rsidRPr="&lt;w:rPr xmlns:w=&quot;http://schemas.openxmlformats.org/wordprocessingml/2006/main&quot;&gt;&lt;w:szCs w:val=&quot;24&quot; /&gt;&lt;/w:rPr&gt;">
        <w:rPr/>
        <w:t xml:space="preserve">los ocupantes del inmueble sito en la calle Infantería núm. 1, piso 4.º, letra A), y la entrega de su posesión al adjudicatario, condicionando dicha suspensión a la previa prestación de fianza por parte del demandante de amparo, en la cuantía, modalidad</w:t>
      </w:r>
    </w:p>
    <w:p w:rsidRPr="" w:rsidR="00AD51A7" w:rsidRDefault="00AD51A7">
      <w:pPr>
        <w:rPr/>
      </w:pPr>
      <w:r w:rsidRPr="&lt;w:rPr xmlns:w=&quot;http://schemas.openxmlformats.org/wordprocessingml/2006/main&quot;&gt;&lt;w:szCs w:val=&quot;24&quot; /&gt;&lt;/w:rPr&gt;">
        <w:rPr/>
        <w:t xml:space="preserve">y condiciones que establezca el Juez encargado de la ejecución para responder de los perjuicios económicos que pudieran ocasionarse con esta medida cautelar.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abril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