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3180-1998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suspender la ejecución de la sanción de privación temporal de licencia de auto-taxi, impuesta en vía administrativa a don Juan Carlos Serrano Prieto.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marzo de 2000, doña Rocío Marsal Alonso, Procuradora de los Tribunales y de don Juan Carlos Serrano Prieto, interpuso recurso de amparo contra la resolución judicial de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El recurrente es titular de la licencia de auto-taxi núm. 9819, del Ayuntamiento de Madrid. Por medio de una inspección municipal se constató que no portaba en la guantera el talonario de facturas reglamentario y sí, en cambio, un talonario irregular con anotaciones de ingresos hechos a mano. Estos hechos fueron calificados de infracción grave conforme al art. 51.II.1 de la Ordenanza Municipal reguladora del servicio de auto-taxis, aprobada por el Pleno del Ayuntamiento de Madrid el 28 de diciembre de 1979, y sancionados por el Primer Teniente de Alcalde del Ayuntamiento de Madrid con la privación por tres meses de la licencia de auto-taxi (Decreto de 18 de agosto de 1998). Interpuesto recurso administrativo ordinario, el Alcalde de Madrid lo desestima por Decreto de 15 de enero de 1999. </w:t>
      </w:r>
    </w:p>
    <w:p w:rsidRPr="00C21FFE" w:rsidR="00AD51A7" w:rsidRDefault="00AD51A7">
      <w:pPr>
        <w:rPr/>
      </w:pPr>
      <w:r w:rsidRPr="&lt;w:rPr xmlns:w=&quot;http://schemas.openxmlformats.org/wordprocessingml/2006/main&quot;&gt;&lt;w:lang w:val=&quot;es-ES_tradnl&quot; /&gt;&lt;/w:rPr&gt;">
        <w:rPr/>
        <w:t xml:space="preserve">b) Contra la resolución administrativa definitiva interpuso el sancionado recurso contencioso-administrativo, con expresa invocación de los arts. 14, 24.2 y 25.1 CE. Este recurso fue desestimado por Sentencia del Juzgado de lo Contencioso-Administrativo núm. 6 de Madrid, de 25 de febrero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la Sentencia impugnada habría vulnerado su derecho a la tutela judicial efectiva sin indefensión (art. 24.1 CE), por haberse dictado sin audiencia, sin fundamento en Derecho y mediando desigualdad entre las parles. También invoca el recurrente el derecho a la igualdad (art. 14 CE), por comparación con otros titulares de licencias de auto-taxi. Por último, el demandante denuncia la vulneración de su derecho a la legalidad sancionadora (art. 25.1 CE) al habérsele impuesto una sanción administrativa con base en un una Ordenanza municipal carente de cobertura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julio de 2000 la Sección Primera de este Tribunal acordó la formación de la presente pieza separada de suspensión y, de conformidad con lo prevenido en el art. 56 LOTC, dar un plazo común de tres días al Ministerio Fiscal y al solicitante de amparo para que alegaran lo que estimasen pertinente en relación con la posible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27 de julio de 2000 tuvo entrada el escrito de alegaciones del Ministerio Fiscal, quien no se opone a la suspensión. Teniendo siempre presente el carácter excepcional y de aplicación restrictiva de la suspensión recogida en el art. 56 LOTC, destaca el Ministerio Fiscal que la suspensión ha de referirse, en puridad, a la sanción administrativa, y que está priva al recurrente de sus derechos con carácter temporal. En atención al dato de la temporalidad de la sanción (tres meses de privación de licencia de auto-taxi) concluye el Ministerio Fiscal que la no suspensión causaría perjuicios irreparables, mientras que la suspensión no afectaría a intereses generales ni a derechos de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 la solicitante de amparo ingresó en el Registro General de este Tribunal Constitucional el 31 de julio de 2000. En él y de forma muy sucinta se afirma que el recurrente es el único miembro de la unidad familiar que aporta ingresos, de lo que resultaría que la no suspensión acarrearía perjuicios de imposible o difícil reparación. Lacónicamente afirma el recurrente que de la suspensión no habría de derivarse perturbación grave de los intereses generales o de los derechos fundamentales y libertades públicas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Debemos empezar por señalar, conforme a lo alegado por Ministerio Fiscal, que pese a que el recurrente se refiere a la suspensión cautelar de la ejecución de la Sentencia, su pretensión ha de entenderse referida directamente a la resolución sancionadora impugnada en el proceso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Precisado lo anterior, debemos recordar que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 En la interpretación de la referida norma, este Tribunal viene manteniendo que hay perjuicio atendible cuando el restablecimiento del recurrente en el derecho constitucional vulnerado sea tardío e impida definitivamente que tal restauración sea efectiva (AATC 51/1989, 20/1992, 370/1996, 69/1997, 263/1998 y 215/1999). En suma, puede afirmarse que el art.  56.1 LOTC parte de la premisa de que la interposición de un recurso de amparo no suspende, como regla general, la ejecución de los actos recurridos, salvo en el supuesto expresamente previsto de la pérdida de la finalidad del amparo y, aun en este caso, condicionado a que la suspensión no produzca las perturbaciones aludidas en el mismo (AATC 156 y 157/1999).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procedencia de la medida cautelar suspensiva se fundamenta por el recurrente en el irreparable perjuicio que habría de ocasionar la ejecución de la sanción, por privar al recurrente de su trabajo y con ello de la única fuente de ingresos de su familia. Con independencia de que el perjuicio alegado por el recurrente no consta plenamente acreditado, lo relevante ahora es confrontar y ponderar los intereses en conflicto. Hay, por un lado, el perjuicio derivado de la imposibilidad temporal de ejercicio de una profesión, perjuicio muy relevante cuando -según alega el recurrente- del ejercicio de esa profesión provienen las únicas rentas de la unidad familiar.  Del otro lado se halla el interés público que reside en imposibilidad de prestar servicios de quien cometió una infracción grave, infracción ésta que, en todo caso, no comportaba riesgo alguno para la seguridad vial. A la vista de lo anterior debemos concluir que de la inejecución de la sanción no resulta un perjuicio grave de los intereses generales o de los derechos fundamentales y libertades públicas de terceros. En cambio, de la ejecución actual de la sanción sí resultaría perjuicio que, por difícilmente reparable, haría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suspender la ejecución de la sanción de privación temporal de licencia de auto-taxi, impuesta en vía administrativa a don Juan Carlos Serrano Prieto.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