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marzo de 2000, la Procuradora de los Tribunales doña Elvira Cámara López, en nombre y representación de don José Luis García Sedaño, interpone recurso de amparo contra la Sentencia dictada por la Sala Segunda del Tribunal Supremo el 7 de febrero de 2000, declarando no haber lugar al recurso de casación núm. 3528/98 interpuesto contra la Sentencia dictada por la Sección Primera de la Audiencia Provincial de Santander el 29 de junio de 1998, en causa seguida por delito de robo con homicidio. En la demanda de amparo se denuncia la vulneración de los derechos a la tutela judicial efectiva y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22 de febrero de 2001, acordó, respectivamente, la admisión a trámite de la demanda de amparo y la formación de pieza separada para la tramitación del incidente sobre suspensión de la ejecución, concediendo a la parte recurrente y al Ministerio Fiscal un plazo común de tres días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 de marzo de 2001, la representación procesal del recurrente remite sus alegaciones, señalando la procedencia de la suspensión y más cuando el Sr. García Sedaño, mientras permaneció en libertad, cumplió a rajatabla con sus obligaciones apud acta, trabajando en el sostenimiento de su familia, sin intentar en ningún momento eludir la acción de la justicia. Si no se acordara la suspensión y el recurso prosperase se ocasionarían perjuicios irreparables a su defendido.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mediante escrito registrado el 9 de marzo de 2001, evacúa el trámite conferido. En él, tras recordar la doctrina de este Tribunal sobre los criterios que se utilizan para decidir sobre la suspensión, señala que, cumpliéndose la mayoría de los mismos (gravedad de la pena impuesta, bien jurídico atacado, alarma social causada, el riesgo de fuga, al haberse cumplido una mínima parte de la pena, y suponer la suspensión una perturbación grave de los intereses generales, que en sí misma supone el incumplimiento de una resolución judicial firme), debe denegarse la suspensión solicitada. No obstante lo anterior, finaliza, sería preciso otorgar prioridad en su resolución al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a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182/1998, 271/1998 y 7/2001).</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-ejecutoriedad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418/1985,522/1985,53/1992, 152/1995, 196/1995, 121/1996, 163/1996,226/1996, 419/1997, 79/1998,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Dada la larga duración de la pena privativa de libertad impuesta (veintinueve años de reclusión menor) no procede suspender su ejecución. Como se ha afirmado anteriormente, aunque la regla general de este Tribunal es que en el caso de penas privativas de libertad debe ser la suspensión, ya que su cumplimiento conlleva en sí mismo una pérdida, al menos parcial, de la finalidad del amparo, también se ha indicado que esta regla general no está exenta de excepciones y una de estas excepciones es, precisamente, la duración de la pena, ya que en el supuesto de que la pena sea de larga duración "el interés general reclama con especial intensidad su ejecución" (ATC 214/1997). Esta conclusión se impone no sólo por el necesario mantenimiento de la confianza en la justicia penal y los efectos disuasorios que se derivan de la finalidad de prevención general de los delitos (AATC 310/1996, 419/1997, 265/1998), sino también porque, como ha señalado el ATC 265/1998, la duración de la pena cuantifica "el desvalor del comportamiento enjuiciado y el daño social producido, según la apreciación del Tribunal sentenciador, que nosotros no podemos revisar en este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dada la irreparabilidad y la gravedad de los perjuicios que la ejecución de la condena que no ha sido suspendida causaría al recurrente en el caso de que este Tribunal estimare el presente recurso de amparo, estamos obligados a reducir en lo posible tan negativos efectos, por lo que como se ha hecho en casos análogos (entre otros, AATC 144/1990, 169/1995, 246/1996, 287/1996, 385/1996, 419/1997, 47/1998, 48/1998, 79/1998, 265/1998, 267/1998, 268/1998)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