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al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8 de enero de 2002, el Procurador de los Tribunales don Ramón Rodríguez Nogueira, en nombre y representación de doña María Barona Lamothe, interpuso recurso de amparo contra la Sentencia de la Audiencia Provincial de Valencia de 5 de diciembre de 2001 por la que se desestima el recurso de apelación interpuesto frente a la Sentencia de 26 de abril 2001 del Juzgado de Primera Instancia núm. 11 de Valencia. En esta resolución judicial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la Sra. Barona, Secretaria de Administración Local, en reclamación de 147.000 pesetas, importe al que ascendían las cuotas impagadas por la pertenencia de la demandada al citado Colegio. </w:t>
      </w:r>
    </w:p>
    <w:p w:rsidRPr="00C21FFE" w:rsidR="00AD51A7" w:rsidRDefault="00AD51A7">
      <w:pPr>
        <w:rPr/>
      </w:pPr>
      <w:r w:rsidRPr="&lt;w:rPr xmlns:w=&quot;http://schemas.openxmlformats.org/wordprocessingml/2006/main&quot;&gt;&lt;w:lang w:val=&quot;es-ES_tradnl&quot; /&gt;&lt;/w:rPr&gt;">
        <w:rPr/>
        <w:t xml:space="preserve">b) La Sra. Barona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desestimadas en Sentencia dictada el 26 de abril de 2001 por el Juzgado de Primera Instancia núm. 11 de Valencia en el correspondiente juicio de cognición, condenando al pago de la cantidad reclamada. </w:t>
      </w:r>
    </w:p>
    <w:p w:rsidRPr="00C21FFE" w:rsidR="00AD51A7" w:rsidRDefault="00AD51A7">
      <w:pPr>
        <w:rPr/>
      </w:pPr>
      <w:r w:rsidRPr="&lt;w:rPr xmlns:w=&quot;http://schemas.openxmlformats.org/wordprocessingml/2006/main&quot;&gt;&lt;w:lang w:val=&quot;es-ES_tradnl&quot; /&gt;&lt;/w:rPr&gt;">
        <w:rPr/>
        <w:t xml:space="preserve">c) Planteado recurso de apelación por la Sra. Barona contra la referida Sentencia, el mismo fue desestimado en la dictada el 5 de diciembre de 2001 por la Sección Segunda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alega en su demanda de amparo que la resolución judicial recurrida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despareció la obligatoriedad de la colegiación, que tampoco puede ampararse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vulneigualdad del art. 14 CE porque la exigencia de tal colegiación no es de aplicación en otros lugares del territorio español, como en Aragón o en Canarias, en donde su legislación autonómica (art. 18 de la Ley 12/1998, de 22 de diciembre, de Medidas Tributarias, Financieras y Administrativas de la Presidencia de la Diputación General de Aragón y art. 9.3 de la Ley 10/1990, sobre Colegios Profesionales de la Comunidad de Canarias) establece que los profesionales titulados que estén vinculados a las Administraciones Públicas no precisarán colegiarse para el ejercicio de tales profesiones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la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 la demandante de amparo y que, además, serían de carácter irreparable porque, al denunciarse en el recurso la vulneración del derecho a la libertad de asociarse en su vertiente negativa, si es obligada a pagar las cuotas significaría que es obligada a permanecer afiliada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23 de mayo de 2002, la Sección Primera admitió a trámite la demanda y ordenó que se formase la presente pieza separada de suspensión, concediendo a la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30 de mayo de 2002 tuvo entrada en el Registro de este Tribunal el escrito de alegaciones de la demandante de amparo. En él señaló la recurrente que la ejecución de la Sentencia mediante el pago de la cantidad dineraria implica per se una vulneración de los derechos fundamentales a la libertad de asociación y a la igualdad y no discriminación cuyo amparo se solicita y haría irreparable la misma. Por otra parte, no existe perturbación grave de los intereses generales o de terceros que pueda prevalecer sobre el perjuicio irreparable a sus derechos fundamentales que implicaría el pago de las cuotas colegiales. Alega en apoyo de sus argumentaciones Sentencias de 31 de enero de 2002 de la Sala de lo Contencioso- Administrativo del Tribunal Superior de Justicia de la Comunidad Valenciana, y de 23 de octubre de 2001 y 7 de mayo de 2002 de las Secciones Cuarta y Sexta de la Audiencia Provincial de Valencia, respectivamente, en las que se reconoce la falta de obligatoriedad de la colegiación de los Secretarios, Interventores y Tesoreros de Administración local con habilitación de carácter nacional. Suplica por ello al Tribunal Constitucional que acuerde la suspensión de los efectos ejecutivos de la Sentencia de 5 de diciembre de 2001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formuló sus alegaciones el 31 de mayo de 2002. En ellas, tras razonar que el abono de la suma a que ha sido condenada la recurrente ni perjudica la finalidad del amparo ni causa un perjuicio irreversible a la parte, porque ni implica que el amparo no tenga utilidad ni tampoco que sea de imposible recuperación la cantidad de dinero que se ha pagado, dada su escasa cuantía y la solvencia de la que lo recibe, interesa que se dicte Auto denegando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24 de junio de 2002 presentó sus alegaciones al procurador don Felipe Ramos Arroyo, en nombre del Colegio de Secretarios, Interventores y Tesoreros de Administración Local con habilitación de carácter nacional de la provincia de Valencia, argumentando, en síntesis, que la ejecución de la Sentencia no haría perder al recurso de amparo su finalidad, por lo que se opone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nacimiento de un derecho de la hoy demandante a que no le sean cobradas las cuotas que reclama el Colegio de Secretarios, Interventores y Tesoreros de Administración Local de habilitación nacional de la provincia de Valencia. Lo que se pretende con la suspensión que solicita la recurrente de la ejecución de la Sentencia que la condenó al pago de dichas cuotas es aplazar el cumplimiento de esa obligación hasta que se resuelva el presente recurso de amparo, obligación cuya prestación consiste en la entrega de una determinada cantidad de dinero, por lo estamos ante un conflicto entre el interés general inherente a la ejecución de una Sentencia, que consagra el art. 118 CE, por un lado, y, por otro, la pretensión de la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239/1990, 6/1996, 61/1997, 89/1997, 109/1997 y 13/1999) sacrificando el interés de la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sea de aplicación.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al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