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4272-2002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4272-2002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julio de 2002 elTribunal don Argimiro Vázquez Guillén, en nombre y representación de Mapfre Mutualidades de Seguro, interpuso recurso de amparo contra el Auto de 12 de junio de 2002 de la Sección Tercera de la Audiencia Provincial de Huelva, dictado en aclaración de la Sentencia de fecha 3 de junio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lo Penal núm. 2 de Huelva, de 21 de marzo de 2002, se condenó a don Antonio Barrera Barrios como autor de un delito contra la seguridad en el tráfico y de tres delitos de lesiones por imprudencia a la pena de catorce fines de semana de arresto y un año de privación del permiso de conducir vehículos a motor y ciclomotores por cada uno de los delitos, y a la pena de catorce meses de prisión con la accesoria de inhabilitación especial para el derecho de sufragio pasivo durante el tiempo de la condena por el restante delito de lesiones imprudentes. Se le condenó también por otro delito de desobediencia grave a los agentes de la autoridad a la pena de siete meses de prisión. Asimismo se le condenó a indemnizar a Juan Antonio Hinestrosa Ferrer en 6.797.34 Euros, a Lucinda Pizarro Tomé en 215.001.88, Euros, y a Lucinda Rocía Hinestrosa Pizarro en 25.865.56 Euros. En el fallo se declara que tales sumas "serán hechas efectivas por la Cía Mapfre Mutualidad, como responsable civil directa, con cargo al Seguro obligatorio concertado y que devengarán para la misma el interés moratorio del 20 por 100 en cuanto a las indemnizaciones que corresponden a Juan Antonio Hinestrosa Ferrer desde la fecha del siniestro y el interés legal del dinero establecido en el art. 576 LEC respecto de las indemnizaciones a percibir por Lucinda Pizarro Tome y por Lucinda Rocío Hinestrosa Pizarro". En el Fundamento Séptimo de la Sentencia se declara que "no puede acordarse el pago moratorio en cuanto a Lucinda Pizarro y a Lucinda Rocío por cuanto respecto de ellas se consignó la cantidad que la aseguradora estimó conveniente para las lesiones padecidas por ellas (..) cantidad que luego fue ampliada al ser considerada insuficiente en Auto dictado por el Juzgado Instructor, siendo la misma complementada hasta lo señalado para tal suficiencia en la citada resolución (...)" </w:t>
      </w:r>
    </w:p>
    <w:p w:rsidRPr="00C21FFE" w:rsidR="00AD51A7" w:rsidRDefault="00AD51A7">
      <w:pPr>
        <w:rPr/>
      </w:pPr>
      <w:r w:rsidRPr="&lt;w:rPr xmlns:w=&quot;http://schemas.openxmlformats.org/wordprocessingml/2006/main&quot;&gt;&lt;w:lang w:val=&quot;es-ES_tradnl&quot; /&gt;&lt;/w:rPr&gt;">
        <w:rPr/>
        <w:t xml:space="preserve">b) La anterior Sentencia fue recurrida en apelación por el condenado y por los perjudicados, siendo dichos recursos impugnados por la entidad demandante de amparo, que interesó la confirmación de la Sentencia de instancia. Por Sentencia de 3 de junio de 2002, la Sección Tercera de la Audiencia Provincial de Huelva desestimó los recursos. En los fundamento de Derecho se declara que "Se aceptan los de la resolución criticada"(sic). </w:t>
      </w:r>
    </w:p>
    <w:p w:rsidRPr="00C21FFE" w:rsidR="00AD51A7" w:rsidRDefault="00AD51A7">
      <w:pPr>
        <w:rPr/>
      </w:pPr>
      <w:r w:rsidRPr="&lt;w:rPr xmlns:w=&quot;http://schemas.openxmlformats.org/wordprocessingml/2006/main&quot;&gt;&lt;w:lang w:val=&quot;es-ES_tradnl&quot; /&gt;&lt;/w:rPr&gt;">
        <w:rPr/>
        <w:t xml:space="preserve">c) Solicitada aclaración por los perjudicados, la Audiencia Provincial dictó Auto de 12 de junio de 2002 aclarando que las indemnizaciones a satisfacer por la aseguradora, con cargo al seguro obligatorio, respecto de Lucinda Pizarro Tomé y Lucinda Rocío Hinestrosa, devengarán el interés moratorio del 20 por 100 desde la fecha del siniestro.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en amparo alega vulneración del derecho a la tutela judicial efectiva (art. 24.1 CE) en su vertiente de principio de inmutabilidad de las resoluciones judiciales firmes puesto que el Auto de aclaración, aquí recurrido, altera sustancialmente el fallo aclarado, sustituyendo al originario, desestimatorio de los recursos de apelación, por lo que supone la estimación parcial de los mismos en lo referente a la petición de intereses moratorios de las dos recurrentes, que fueron rechazados expresamente en la Sentencia de instancia, confirmada en apelación . Ello supone una alteración de la resolución judicial firme, al margen del art. 267 LOP, y por ello vulnera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5 de diciembre de 2002, acordó admitir a trámite el recurso de amparo y, a tenor de los dispuesto en el art. 51 LOTC, recabar a los órganos judiciales que habían intervenido en la sustanciación del pleito la remisión de las actuaciones judiciales y el emplazamiento de las partes. Por providencia de la misma fecha, vista la solicitud de los recurrentes en orden a la suspensión de la ejecución de la resolución judicial impugnada, se acordó formar pieza separada concediendo a la parte recurrente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Juzgado de guardia el 16 de diciembre de 2002, y registrado en este Tribunal el 18 siguiente, la entidad demandante de amparo reitera la solicitud de suspensión de la ejecución del Auto impugnado, exclusivamente respecto de la liquidación de intereses en los términos que dicho Auto establece a favor de Lucinda Pizarro Tomé y Lucinda Hinestrosa Pizarro, ya que su liquidación en tales términos podría ocasionar un perjuicio a la entidad, haciendo perder al amparo su finalidad, dado que tal cuestión es el exclusivo objeto del recurso de amparo. Se alega que en relación a las citadas perjudicadas, la entidad ha realizado la consignación y pago de todas las cantidades indemnizatorias establecidas a favor de las mismas, dando cumplimiento a las resoluciones judiciales correspondientes, por lo que no cabe hablar respecto de las mismas de incumplimiento o perjuicio en relación con su justo derecho. Se aduce que de seguir adelante la ejecución respecto de la liquidación de intereses aquí recurrida podría irrogarse un grave perjuicio y se estaría dejando sin contenido el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presentado el 16 de diciembre de 2002 el Ministerio Fiscal interesó la denegación de la suspensión solicitada puesto que de acuerdo con la jurisprudencia de este Tribunal las condenas de contenido económico sólo deben suspenderse excepcionalmente cuando se trata de condenas pecuniarias cuyo cumplimiento, por su importancia o cuantía, o por las especiales circunstancias, puedan causar daños irreparables, y ello no concurre en el presente caso por razón de la cuantía, sin que se haya acreditado la irreparabilidad del perjuicio derivado de las ejecución por la concurrencia de circunstancias especiales.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del mencionado precepto,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entidad recurrente formula la solicitud de que se suspenda la ejecución del Auto de 12 de junio de 2002 de la Sección Tercera de la Audiencia Provincial de Huelva, dictado en aclaración de la Sentencia de fecha 3 de junio de 2002, exclusivamente respecto de la liquidación de intereses en los términos que dicho Auto establece a favor de Luciana Pizarro Tomé y Lucinda Hinestrosa Pizarro, ya que su liquidación en tales términos podría ocasionar un perjuicio a la entidad, haciendo perder al amparo su finalidad.</w:t>
      </w:r>
    </w:p>
    <w:p w:rsidRPr="00C21FFE" w:rsidR="00AD51A7" w:rsidRDefault="00AD51A7">
      <w:pPr>
        <w:rPr/>
      </w:pPr>
      <w:r w:rsidRPr="&lt;w:rPr xmlns:w=&quot;http://schemas.openxmlformats.org/wordprocessingml/2006/main&quot;&gt;&lt;w:lang w:val=&quot;es-ES_tradnl&quot; /&gt;&lt;/w:rPr&gt;">
        <w:rPr/>
        <w:t xml:space="preserve">Este Tribunal viene declarando de forma reiterada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irreparables perjuicios que pudiere acarrearle la imposibilidad material de atender a dicho pago, frustrando irremediablemente la finalidad del amparo impetrado (entre otros muchos, AATC 573/1985, 574/1985, 275/1990, 281/1996, 41/1997, 207/1998, 62/1999, 211/1999, 42/2000, 92/2000, 249/2000, 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es cierto que este Tribunal ha declarado en ocasiones que, aun tratándose de resoluciones con contenido patrimonial en las que se condena a una de las partes al abono de una cantidad dineraria, también es posible acceder a la suspensión solicitada cuando se trate de supuestos en que la cuantía de la indemnización o cantidad a la que se ha sido condenada es de gran importancia (por todos, AATC 65/1999, de 22 de marzo, FJ 2; 61/2000, de 28 de febrero, FJ 4; 115/2000, de 5 de mayo, FJ 2; 9/2002, FJ 3). Así, por ejemplo, hemos admitido la suspensión de la ejecución de actos con contenido económico en atención a su extraordinaria cuantía (ATC 321/1995, de 7 de diciembre, FJ 2) o cuando por las especiales circunstancias concurrentes su cumplimiento pueda causar daños irreparables (AATC 344/1996, de 2 de diciembre, FJ 2; y 286/1997, de 21 de julio, FJ 2). No obstante, en el presente caso, como afirma el Ministerio Fiscal, no se da ningún motivo excepcional que permita a este Tribunal dar prevalencia al interés particular a la no ejecución de una Sentencia firme sobre el general a su ejecución, pues la entidad recurrente acota la solicitud a la diferencia del interés legal del dinero hasta el tipo del 20 por 100 de interés, fijado en el Auto recurrido, que no puede considerarse una cantidad extraordinaria; y por otra parte tampoco se ha acreditado la concurrencia de circunstancias especiales que hagan irreparable el perjuicio derivado de la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2003.</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