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5402-2003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5402-2003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las penas solicitada, ordenando la anticipación del conocimiento del presente proceso en el orden de señalamientos.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5 de septiembre de 2003, la Procuradora de los Tribunales doña Teresa Castro Rodríguez, en nombre y representación de don Hicham Mahyoub, interpuso recurso de amparo contra la Sentencia de la Sección Tercera de la Audiencia Provincial de Murcia de 1 de julio de 2003, confirmatoria en apelación de la Sentencia condenatoria dictada por el Juzgado de lo Penal núm.1 de esa misma ciudad, con fecha de 17 de marzo de 2003, en procedimiento seguido contra el demandante de amparo por delitos de robo, hurto y falsedad en documento oficial. En la demanda de amparo se solicitaba, por otrosí digo, la suspensión de la pena impuesta hasta tanto no se resuelva el presente recurso de amparo, dado que, habida cuenta de su corta extensión, la no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del Juzgado de lo Penal núm.1 de Murcia de 17 de marzo de 2003, confirmada en apelación por la de la Audiencia Provincial de Murcia de 1 de julio de 2003, condenaba al demandante de amparo, como autor responsable de un delito de robo con fuerza en las cosas, un delito de hurto y un delito continuado de falsedad en documento oficial, a las penas de dos años de prisión por el primero de dichos delitos, un año de prisión por el segundo, y tres años de prisión y multa por tiempo de doce meses, a razón de una cuota diaria de 6 euros, por el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27 de enero de 2005,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17 de febrero de 2005 en el que, de conformidad con la reiterada doctrina dictada por este Tribunal respecto del carácter excepcional de la suspensión de la ejecución de las penas impuestas por Sentencia firme, no consideraba procedente acceder a la suspensión de las penas privativas de libertad solicitada por el demandante de amparo toda vez que la suma del cumplimiento de todas ellas alcanza un total de seis años de prisión, por lo que, si bien ciertamente la no suspensión de las mismas causará algún perjuicio al recurrente caso de ser finalmente otorgado el amparo, frente a ello debe prevalecer en este caso, a su juicio, el interés general en la ejecución de las Sentencias recurridas. Tampoco estimaba procedente acceder a la suspensión de la ejecución de las costas procesales, por tratarse de un pronunciamiento de carácter económico y, como tal, fácilmente 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de fecha 15 de febrero de 2005 en el que insistía en que, de no suspenderse la ejecución de las penas impuestas, se le ocasionaría un perjuicio irreparable, dado el fumus boni iuris existente a su favor que podría dar lugar a una resolución de este Tribunal favorable al otorgamiento del amparo solicitado, ya que, habiendo sido sustituida la pena de prisión que le fue impuesta por un tiempo total de seis años por su expulsión del territorio nacional, dicha expulsión le ocasionaría un perjuicio evidente al tener residencia legal, trabajo y arraigo en España.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a no acordar la suspensión interesada en lo relativo a la pena privativa de libertad dado que, siendo el tiempo que de la misma le queda por cumplir al demandante de amparo superior a cinco años resulta previsible que la resolución acerca del amparo solicitado se produzca mucho antes de transcurrido dicho tiempo, lo que hace los intereses generales asociados a la ejecución de toda Sentencia penal en lo que a privación de libertad se refiere deban, en este caso, considerarse prevalentes. Procede asimismo denegar la suspensión de la ejecución de la pena de multa por tratarse de un pronunciamiento de naturaleza económica y, en consecuencia, reversible, ello sin perjuicio de que por la índole del caso sea aconsejable anticipar en el orden de señalamientos el conocimiento del presente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procede en este caso una consideración diferenciada de la sustitución de la prisión por expulsión del territorio nacional, a que se hace alusión por el recurrente en el escrito de alegaciones de este incidente, pues no se formula una petición específica de suspensión de tal forma de ejecución, sino sólo como un elemento de apoyo a la urgencia del pronunciamiento sobre la suspensión de la ejecución de la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las penas solicitada, ordenando la anticipación del conocimiento del presente proceso en el orden de señalamientos.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