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3321-2005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3321-2005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celebración de subasta de la plaza de garaje núm. 4 del inmueble sito en la calle Marqués de San Juan núm. 5 de Valencia embargada en el procedimiento de ejecución de títulos judiciales núm. 1040-2002 del Juzgado de Primera Instancia núm. </w:t>
            </w:r>
          </w:p>
          <w:p w:rsidRPr="00D13423" w:rsidR="00AD51A7" w:rsidRDefault="00AD51A7">
            <w:pPr>
              <w:rPr/>
            </w:pPr>
            <w:r w:rsidRPr="&lt;w:rPr xmlns:w=&quot;http://schemas.openxmlformats.org/wordprocessingml/2006/main&quot;&gt;&lt;w:color w:val=&quot;800080&quot; /&gt;&lt;w:szCs w:val=&quot;24&quot; /&gt;&lt;/w:rPr&gt;">
              <w:rPr/>
              <w:t xml:space="preserve">20 de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10 de mayo de 2005, don José María Llorca Albero, representado por la Procuradora de los Tribunales doña Angeles Rodríguez Martínez-Conde y asistido por el Letrado don Vicente Andreu Andreu, interpuso recurso de amparo contra el Auto dictado el 8 de abril de 2005 por el Juzgado de Primera Instancia núm. 20 de Valencia, que desestimó la petición de nulidad de actuaciones promovida en el procedimiento de ejecución de títulos judiciales núm. 1040-2002, dimanante del proceso monitorio núm. 691-2001 del mismo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que se adopte la medida cautelar solicitada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demandado por la comunidad de propietarios de la calle Marqués de San Juan núm. 5 de Valencia en reclamación de cantidad, por impago de gastos correspondientes a la plaza de garaje núm. 4 de la finca, designando como domicilio del deudor el propio inmueble, ya que afirmaba desconocer su domicilio real. Tras determinadas gestiones infructuosas, el Juzgado procedió a realizar el emplazamiento mediante edictos en el tablón de anuncios. El 26 de junio de 2002 recayó Auto declarando transcurrido el plazo concedido para proceder al pago de lo reclamado. </w:t>
      </w:r>
    </w:p>
    <w:p w:rsidRPr="00C21FFE" w:rsidR="00AD51A7" w:rsidRDefault="00AD51A7">
      <w:pPr>
        <w:rPr/>
      </w:pPr>
      <w:r w:rsidRPr="&lt;w:rPr xmlns:w=&quot;http://schemas.openxmlformats.org/wordprocessingml/2006/main&quot;&gt;&lt;w:lang w:val=&quot;es-ES_tradnl&quot; /&gt;&lt;/w:rPr&gt;">
        <w:rPr/>
        <w:t xml:space="preserve">b) Presentada demanda de ejecución de título judicial, y manifestado nuevamente la comunidad de propietarios reclamante que desconocía el domicilio del deudor, el Juzgado dictó Auto el 18 de febrero de 2003 despachando ejecución por 426’63 euros de principal, mas intereses y costas. Tras ello se procedió al embargo de la plaza de garaje, se designó perito para proceder a su avalúo y se señaló la celebración de subasta para el 18 de noviembre de 2004. </w:t>
      </w:r>
    </w:p>
    <w:p w:rsidRPr="00C21FFE" w:rsidR="00AD51A7" w:rsidRDefault="00AD51A7">
      <w:pPr>
        <w:rPr/>
      </w:pPr>
      <w:r w:rsidRPr="&lt;w:rPr xmlns:w=&quot;http://schemas.openxmlformats.org/wordprocessingml/2006/main&quot;&gt;&lt;w:lang w:val=&quot;es-ES_tradnl&quot; /&gt;&lt;/w:rPr&gt;">
        <w:rPr/>
        <w:t xml:space="preserve">c) Tras nuevas gestiones que permitieron la notificación personal al demandante de amparo del señalamiento de la subasta, presentó escrito solicitando la nulidad de actuaciones, a lo que no se opuso la comunidad de propietarios. No obstante lo cual, el Juzgado denegó la nulidad de actuaciones, por Auto de 8 de abril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obtener la tutela judicial efectiva sin indefensión (art. 24.1 CE) como consecuencia de que los actos de comunicación realizados en el proceso monitorio 691-2001 y en el posterior procedimiento de ejecución de títulos judiciales núm. 1040-2002 se llevaron a cabo por edictos, pese a que el domicilio real del recurrente no podía resultar desconocido para la comunidad de propietarios reclamante y dicho domicilio constaba en la inscripción registral de la plaza de garaje a la que se refieren las actuaciones judiciales, como resulta de la certificación de dominio y cargas expedida por el Registro de la Propiedad núm. 5 de Valencia y que fue incorporada a las actuaciones judiciales tras el embargo del referido inmueble.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que se deje en suspenso la ejecución del Auto del Juzgado de Primera Instancia núm. 20 de Valencia, de 8 de abril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mayo de 2007 la Sección Segunda de este Tribunal acordó la admisión a trámite de la demanda de amparo así como, a tenor de lo establecido en el art. 51 LOTC, requerir al Juzgado de Primera Instancia núm. 20 de Valencia para que remitiera testimonio de las actuaciones, interesándose al tiempo que emplazase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recurrente presentó un escrito el 14 de junio de 2007, en el que afirma que se ratifica en la petición de suspensión solicitada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el 20 de junio de 2007, el Ministerio Fiscal se opone a la suspensión solicitada por entender que el demandante no especifica qué perjuicios causaría la no suspensión de la resolución impugnada; a lo que añade que, en cualquier caso, el pronunciamiento judicial tiene un contenido exclusivamente pecuniario y, por tanto, fácilmente 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dispone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hemos venido insistiendo en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185/1998, de 14 de septiembre, FJ 1; 289/2000, de 11 de diciembre, FJ 2; 171/2002, de 30 de septiembre, FJ 1; 413/2003, de 15 de diciembre, FJ 1. y 530/2004 de 20 de diciembre, FJ 1, entre otros muchos). Por ello la adopción de esta medida cautelar resulta pertinente sólo cuando la ejecución del fallo cause al solicitante de amparo un perjuicio irreparable en los derechos fundamentales invocados en el proceso constitucional (entre otros,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ó 275/1990, de 2 de julio, FJ 2).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hemos accedido a la suspensión.</w:t>
      </w:r>
    </w:p>
    <w:p w:rsidRPr="00C21FFE" w:rsidR="00AD51A7" w:rsidRDefault="00AD51A7">
      <w:pPr>
        <w:rPr/>
      </w:pPr>
      <w:r w:rsidRPr="&lt;w:rPr xmlns:w=&quot;http://schemas.openxmlformats.org/wordprocessingml/2006/main&quot;&gt;&lt;w:lang w:val=&quot;es-ES_tradnl&quot; /&gt;&lt;/w:rPr&gt;">
        <w:rPr/>
        <w:t xml:space="preserve">En efecto, si la resolución judicial versa sobre la subasta de una finca, hemos dicho que, de seguirse la ejecución, ello podría producir situaciones irreversibles o de difícil reparación cuando como consecuencia de la continuación de la ejecución se procediera a la subasta de la finca embargada y su posterior transmisión a terceros adquirentes de buena fe. En tales casos, este Tribunal considera procedente la suspensión de los actos de ejecución, supeditándola, en ocasiones, a la previa prestación de una fianza que asegure al ejecutante la indemnización de los daños que pudiera ocasionarle la suspensión de la ejecución (AATC 565/1986, de 2 de julio, FJ Único; 59/1996, de 11 de marzo, FJ 3; 207/2000, de 18 de septiembre, FJ 3, y 45/2001, de 26 de febrero, FJ 1, por todos), lo que en este caso no resulta necesario, pues el hecho de paralizar la subasta del bien inmueble embargado no impide que subsista el embargo practicado o que se sustituya por otra medida cautelar de la que no pudiera derivarse el perjuicio que mediante la presente resolución trata de precaverse.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por último señalarse que, no siendo completa la documentación aportada por los demandantes, si, una vez recibidos los testimonios recabados al órgano judicial, de su examen resultaran datos que contradijeran lo alegado por el peticionario de la suspensión, podrá este Tribunal, en virtud de lo establecido en el art. 57 LOTC, modificar la medida cautelar ahora adoptada (por todos, AATC 351/2004, de 20 de septiembre, y 369/2004 de 4 de octubre).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celebración de subasta de la plaza de garaje núm. 4 del inmueble sito en la calle Marqués de San Juan núm. 5 de Valencia embargada en el procedimiento de ejecución de títulos judiciales núm. 1040-2002 del Juzgado de Primera Instancia núm. </w:t>
      </w:r>
    </w:p>
    <w:p w:rsidRPr="" w:rsidR="00AD51A7" w:rsidRDefault="00AD51A7">
      <w:pPr>
        <w:rPr/>
      </w:pPr>
      <w:r w:rsidRPr="&lt;w:rPr xmlns:w=&quot;http://schemas.openxmlformats.org/wordprocessingml/2006/main&quot;&gt;&lt;w:szCs w:val=&quot;24&quot; /&gt;&lt;/w:rPr&gt;">
        <w:rPr/>
        <w:t xml:space="preserve">20 de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