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noviembre de 2005 la Procuradora doña Alicia Martín Yañez interpuso demanda de amparo, en nombre y representación de El Estanquero, S.L., contra la Sentencia de la Sección Primera de la Audiencia Provincial de Almería de fecha 19 de septiembre de 2005, rollo de apelación núm. 178-2004, que, desestimando el recurso formulado por la recurrente en amparo, confirmó la Sentencia del Juzgado de Primera Instancia núm. 2 de Berja de 12 de enero de 2004 que desestimó la demanda de suspensión de obra nueva presentada por la aquí recurrente al apreciar falta de legitimación pasiva del demandado. Por medio de otrosí solicitó la suspensión de la ejecución de las Sentencias recurridas por considerar que si no se paralizan las obras que con el interdicto se pretendían la sentencia de amparo no tendría ninguna eficacia.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providencias de 4 de octubre de 2007 la Sala Segunda acordó admitir a trámite el recurso de amparo y formar la oportuna pieza para la tramitación del incidente de suspensión, concediendo, conforme a lo dispuesto en el art. 56 LOTC, un plazo común de tres días a la parte recurrente y al Ministerio público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Procuradora doña Alicia Martín Yañez presentó escrito en este Tribunal, registrado el 26 de octubre de 2007, en el que, tras recordar la alegación ya formulada sobre la suspensión en el primer otrosí de la demanda de amparo, añade que continúa interesada en que se acuerde la suspensión; y en concreto interesa que, dado que los trabajos de roturación de la finca y posterior construcción de unos invernaderos son obras desmontables, se proceda a desmontar los invernaderos y a realizar las obras oportunas para que la finca vuelva al estado anterior al que se encontraba antes de la realización de las obras objeto del interdicto.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Fiscal, en escrito registrado el 28 de octubre de 2007, tras hacer referencia a que en la reforma operada por la Ley Orgánica 6/2007 se mantiene la excepcionalidad de la medida cautelar de suspensión postulada en la doctrina jurisprudencial anterior, señala que la suspensión de las resoluciones impugnadas implicaría la paralización de las obras por el demandado, lo que determinaría que se lograra por vía de suspensión más que lo pretendido por vía de amparo, ya que el eventual otorgamiento de éste comportaría la anulación de las Sentencias recurridas pero no necesariamente el éxito de la acción de interdicto. En consecuencia concluye que debiera seguirse el principio general de la no suspensión, sin perjuicio de que la Sala pudiera acordar, conforme al art. 56. 3 LOTC, la exigencia de una caución para impedir que la continuación de las obras por el demandado pudiera revertir en un beneficio sin contraprestación si el amparo se otorgara en su día y las nuevas sentencias estimaran la acción interdictal.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Es también doctrina constante de este Tribunal (antes de la aludida reforma y tras ella), que para excepcionar esa regla general de la no suspensión se exija como primer e ineludible presupuesto, que la ejecución del acto o sentencia impugnados deba previsiblemente producir un perjuicio al recurrente que pudiera hacer perder al amparo su finalidad, lo que el recurrente tiene la carga de justificar. En efecto, según se recuerda en los ATC 319/2003, de 13 de octubre, FJ 2, y 36/2007, de 12 de febrero, FJ 2, “como hemos afirmado desde las primeras resoluciones en materia de suspensión,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dicha doctrina en el presente caso conduce derechamente al rechazo de la solicitud de suspensión de la ejecución de las resoluciones impugnadas ante la falta de cumplimiento de la carga que le corresponde, por la recurrente, quien debe precisar los concretos perjuicios que de la ejecución se deriven, así como justificar o argumentar razonadamente la irreparabilidad de los mismos, lo que no acontece en el caso, en el que la recurrente se limita a afirmar que el levantamiento de la suspensión de las obras haría perder al amparo su finalidad y a precisar el alcance de la suspensión que se pretende, pero sin concretar los perjuicios que le produce la no suspensión de las obras, ni argumentar en modo alguno la irreparabilidad de los eventuales perjuicios, lo que más bien parece desmentirse al relatar el carácter desmontable de las obras realizadas y, como se razonó supra, resulta esencial a fin de excepcionar la regla general de no suspensión.</w:t>
      </w:r>
    </w:p>
    <w:p w:rsidRPr="00C21FFE" w:rsidR="00AD51A7" w:rsidRDefault="00AD51A7">
      <w:pPr>
        <w:rPr/>
      </w:pPr>
      <w:r w:rsidRPr="&lt;w:rPr xmlns:w=&quot;http://schemas.openxmlformats.org/wordprocessingml/2006/main&quot;&gt;&lt;w:lang w:val=&quot;es-ES_tradnl&quot; /&gt;&lt;/w:rPr&gt;">
        <w:rPr/>
        <w:t xml:space="preserve">Por lo demás asiste la razón al Ministerio Fiscal cuando aduce que el otorgamiento de la solicitada suspensión de las resoluciones judiciales impugnadas llevaría consigo el restablecimiento de la paralización de las obras que se acordó en el seno del juicio verbal interdictal, a cuyas Sentencias definitivas (de instancia y apelación) se reprocha la vulneración de derechos fundamentales. De este modo la peculiar ordenación de este tipo de proceso especial y sumario, que comienza con la paralización de las obras y concluye con una decisión sobre el alzamiento o mantenimiento de la paralización inicialmente acordada, implicaría que la suspensión de la Sentencia recaída en aquél produjese el efecto reflejo del restablecimiento de dicha paralización, lo cual supondría alcanzar a través de la suspensión ahora solicitada prácticamente el mismo efecto que si se hubiera obtenido una Sentencia favorable en el juicio verbal.</w:t>
      </w:r>
    </w:p>
    <w:p w:rsidRPr="00C21FFE" w:rsidR="00AD51A7" w:rsidRDefault="00AD51A7">
      <w:pPr>
        <w:rPr/>
      </w:pPr>
      <w:r w:rsidRPr="&lt;w:rPr xmlns:w=&quot;http://schemas.openxmlformats.org/wordprocessingml/2006/main&quot;&gt;&lt;w:lang w:val=&quot;es-ES_tradnl&quot; /&gt;&lt;/w:rPr&gt;">
        <w:rPr/>
        <w:t xml:space="preserve">Consecuentemente, por las razones acabadas de exponer, resulta procedente denegar la suspensión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el Ministerio Fiscal alude a la posibilidad de que este Tribunal acordase, conforme al art. 56.3 LOTC, la exigencia de una caución para impedir que la continuación de las obras por el demandado pudiera causar un beneficio sin contraprestación si el amparo llegara a otorgarse en su día y las nuevas Sentencias estimasen la acción interdictal. Ahora bien, ni tal medida ha sido solicitada por la parte a quien interesa ni está orientada estrictamente a preservar la finalidad del amparo, ceñida a la obtención de una Sentencia de fondo sobre las pretensiones ejercitadas en el juicio verbal. Por lo demás, en la hipótesis de que la Sentencia de este Tribunal fuese estimatoria del amparo, acordando la retroacción de actuaciones para que se dicte una nueva Sentencia sobre el fondo de las pretensiones ejercitadas, y de que, también hipotéticamente, la decisión judicial fuese estimatoria de la demanda, los eventuales perjuicios causados por la construcción de cuya paralización se trataba en el juicio verbal origen de este recurso de amparo siempre serían reparables económicamente, razón por la cual tampoco resultaría adecuada la fijación de caución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