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9088-2007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9088-2007,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noviembre de 2007 tuvo entrada en el Registro General de este Tribunal un escrito del Juzgado de lo Contencioso-Administrativo núm. 2 de Córdoba al que se acompaña, junto con el testimonio del correspondiente procedimiento, el Auto de 3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este último en relación a los arts 133.1 y 149.1.14 CE y 9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 743-2006) contra la Resolución de la Junta Provincial de Hacienda de Córdoba por la que estima la reclamación económico-administrativa 69-2005,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solicitó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Juzgado de lo Contencioso-Administrativo núm. 2 de Córdoba dictó providencia el día 12 de julio de 2007 en los términos siguientes: “De conformidad con lo dispuesto en el art. 35.2 de la Ley 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en el proceso a quo. Por su parte, el Ministerio Fiscal estimó procedente el planteamiento de la cuestión por entender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dictó el Auto de 3 de octubre de 2007 planteando la cuestión de inconstitucionalidad en relación con los arts. 56 a 64 de la Ley del Parlamento de Andalucía 18/2003, de 29 de diciembre, de medidas fiscales y administrativas, por posible vulneración de los arts. 133.1, 139.2, 156 y 157.2 CE, este último en relación a los arts 133.1 y 149.1.14 CE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dictó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el Auto se remite, literalmente, a los expresados en los Autos por los que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tienen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derivados de los apartados 2 y 3 del art. 6 LOFCA para concluir que existe una clara identidad ente ambos tributos dado que, a su juicio, el IDRR recae sobre materia imponible ya gravada por el IAE al referirse a la misma actividad del IAE, epígrafe 143.3 almacenamiento de residuos radiactivos, por lo que considera que el tributo autonómico puede ser contrario al art. 6.2 LOFCA (en realidad 6.3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12 de diciembre de 2007, se acordó oír al Fiscal General del Estado para que, en el plazo de diez días, alegara lo que considerase conveniente acerca de la admisibilidad de la presente cuestión de inconstitucionalidad en relación con el cumplimiento de los requisitos procesales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enero de 2008 el Fiscal General del Estado presentó su escrito de alegaciones en el que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fueran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en relación con la verificación del cumplimiento de los requisitos procesales establecidos en el art. 35.2 LOTC, es de apreciar que no se han cumplido las exigencias de la necesaria audiencia a las partes y al Ministerio público previamente a la elaboración del Auto de planteamiento de la cuestión de inconstitucionalidad por parte del órgano judicial promotor de la misma. En efecto, en el presente caso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realizan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público nos hemos pronunciado ya en el ATC 456/2007, de 12 de diciembre, dictado como consecuencia de la cuestión de inconstitucionalidad núm. 6895-2007, planteada por el Juzgado de lo Contencioso-Administrativo núm. 4 de Córdoba, en cuyos fundamentos jurídicos 2 y 3 estimamos que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ser inconstitucionales como los motivos, expuestos ambos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en el que este Tribunal ha considerado que la cuestión planteada resultaba ser notoriamente infundada al apreciar que no se producía la vulneración de la prohibición de doble imposición contenida en el art. 6.3 LOFCA así como tampoco la del art. 157.2 CE en relación con el art. 9 LOFCA. Por ello, de acuerdo con las razones expuestas en el ya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9088-2007,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