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21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9357-2006, promovido por don Tomás Olivo López, representado por la Procuradora de los Tribunales doña Susana Gómez Castaño y bajo la dirección del Letrado don Antonio Ruiz Villén, contra el Auto de la Sección Tercera de la Audiencia Provincial de Málaga de 7 de septiembre de 2006, dictado en el rollo núm. 371-2006, por el que se desestima el recurso de apelación interpuesto contra el Auto del Juzgado de Instrucción núm. 5 de Marbella de 28 de junio de 2006, dictado en las diligencias previas núm. 4796-2005, por el que se decreta la permanencia en calidad de detenido del recurrente.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octubre de 2006, la Procuradora de los Tribunales doña Susana Gómez Castaño, en nombre y representación de don Tomás Olivo López, y bajo la dirección del Letrado don Antonio Ruiz Villén, interpuso demanda de amparo contra las resoluciones judiciales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Instrucción núm. 5 de Marbella incoó diligencias previas núm. 4796-2005 por la supuesta comisión de delitos de prevaricación y cohecho. En dichas diligencias, por Auto de 26 de junio de 2006, se acordó la detención judicial del recurrente, autorizando su traslado hasta las dependencias policiales en Málaga para la práctica de las diligencias correspondientes. Dos agentes del Cuerpo Nacional de Policía de la comisaría de Estepona efectuaron la detención del recurrente en su domicilio el 27 de junio de 2006, sobre las nueve horas y cincuenta minutos, compareciendo en la comisaría de Málaga a las once y quince minutos de ese mismo día para hacer entrega del detenido.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28 de junio de 2006 se decretó la permanencia del recurrente en calidad de detenido en las dependencias de la comisaría de policía de Málaga a disposición del Juzgado, donde debía ser presentado el 1 de julio a las 9:30 horas de la mañana a fin de recibirle declaración y legalizar su situación personal. En dicho Auto se fundamenta esta decisión en que resultaba imposible la práctica de la declaración del imputado debido al elevado número de detenidos y la larga duración de las declaraciones y que no se había superado el plazo máximo de detención previsto en los arts. 17 CE y 497 de la Ley de enjuiciamiento criminal (LECrim). Por Auto de 1 de julio de 2006, tras prestar declaración el recurrente ante el Juez, se acordó su prisión provisional eludible mediante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recurrente, mediante escrito registrado el 6 de julio de 2006, interpuso recurso de apelación, que fue tramitado con el núm. 371-2006 por la Sección Tercera de la Audiencia Provincial de Málaga. El recurrente alegó, entre otros aspectos, la vulneración de los derechos a la libertad (art. 17.1 CE), a la tutela judicial efectiva (art. 24.1 CE) y a un proceso con todas las garantías (art. 24.2 CE), argumentando que, habiéndose ejecutado la detención judicial el 27 de junio de 2006 a las 9:30 minutos, la decisión judicial de prorrogar su situación de detención hasta el día 1 de julio de 2006 implicó una prolongación de su privación de libertad sin cobertura legal, toda vez que duró más de las 72 horas a las que se refieren los arts. 17.2 CE y 497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de apelación fue desestimado por Auto de 7 de septiembre de 2006, argumentando que el cómputo del plazo del cómputo de las 72 horas no debe realizarse desde las 9:30 horas del día 27 de junio de 2006 en que se produjo la detención por parte de la Policía, sino desde las 20:30 horas del día 28 de junio de 2006 en que el detenido fue puesto a disposición del Magistrado instructor, por lo que el plazo finalizaba el 1 de julio de 2006 a las 20:30 horas, con posterioridad, por tanto, a que se acordara la situación de prisión provisional del recurrente. A esos efectos, el órgano judicial pone de manifiesto que ha de atenderse a la literalidad del art. 497 LECrim, en cuyo párrafo primero, al que se remite la regulación de la detención judicial, se afirma que el cómputo de las 72 horas ha de realizarse “desde que el detenido le hubiese sido entregado”.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han vulnerado sus derechos a la libertad (art. 17.1 CE), a la tutela judicial efectiva (art. 24.1 CE) y a un proceso con todas las garantías (art. 24.2 CE). Así, argumenta que los Autos impugnados han realizado una interpretación del art. 497 LECrim contraria al derecho a la libertad, toda vez que si bien el párrafo primero de dicho artículo, al regular la detención policial, establece que el órgano judicial debe elevar la detención a prisión o dejarla sin efecto “en el término de setenta y dos horas, a contar desde que el detenido le hubiese sido entregado”; sin embargo, el párrafo segundo, al establecer que el Juez deberá hacer lo propio “y en idéntico plazo” respecto de la persona cuya detención haya acordado él mismo, no puede entenderse que el cómputo se debe realizar desde que el detenido le hubiera sido entregado, ya que tratándose de una detención judicial no es necesaria una puesta a disposición judicial del detenido. Por otro lado, también destaca el recurrente que la argumentación contenida en las resoluciones judiciales impugnadas de que la prórroga de la situación de detención estaba debidamente justificada por la imposibilidad de tomarle declaración es contraria a la efectividad del derecho a la libertad, ya que dicha situación está legalmente prevista en el art. 505 LECrim en el que se establece la posibilidad de acordar la medida de prisión provisional con o sin fianza, pero siempre dentro del plazo de 72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14 de septiembre de 2007, acordó admitir a trámite la demanda de amparo y, en aplicación de lo dispuesto en el art. 51 de la Ley Orgánica del Tribunal Constitucional (LOTC), requerir atentamente del órgano judicial para que remitiera copia adverada de las actuaciones y emplazara a quienes hubieran sido parte en el procedimiento, a excepción del recurrente,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24 de enero de 2008, acordó tener por recibidas las actuaciones remitidas por los órganos judiciales y, a tenor de lo dispuesto en el art. 52 LOTC, dar vista de las actuaciones por plazo común de veinte días al Ministerio Fiscal y al recurrente para que, dentro de dicho término, pudiesen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28 de febrero de 2008, interesó que se otorgara el amparo solicitado por vulneración del derecho del recurrente a la libertad personal (art. 17.1 CE) con anulación de las resoluciones impugnadas. El Ministerio Fiscal, en primer lugar, expone que las diversas invocaciones realizadas por el recurrente en su demanda deben ser reconducidas al derecho a la libertad (art. 17.1 CE). A partir de ello, el Ministerio Fiscal concluye que las resoluciones judiciales impugnadas han vulnerado el derecho del recurrente a la libertad, toda vez que una interpretación del art. 497 LECrim desde la óptica constitucional “conduce a considerar que el límite de las 72 horas de la detención judicial habría sido en este caso rebasado”, ya que la única finalidad de detención realizada por parte de la Policía era la de ejecutar la decisión judicial de detención para ponerlo a su disposición, por lo que no resulta posible aplicar cómputos temporales diferentes cuando la detención tenía un único y común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26 de febrero de 2008, presentó sus alegaciones dando por reproducidos los argumentos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noviembre de 2011 se señaló para la deliberación y votación de la presente Sentencia el día 21del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los Autos impugnados en los que se acuerda y confirma, respectivamente, la posibilidad de prórroga de la situación de detención judicial del recurrente han vulnerado sus derechos a la libertad (art. 17.1 CE), a la tutela judicial efectiva (art. 24.1 CE) y a un proceso con todas las garantías (art. 24.2 CE), por haber implicado una prolongación de la situación de privación de libertad más allá del plazo legalmente previsto de 72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resulta necesario precisar, en el sentido señalado por el Ministerio Fiscal, que a pesar de haber sido invocados junto con el derecho a la libertad personal (art. 17.1 CE), los derechos a la tutela judicial efectiva (art. 24.1 CE) y el derecho a un proceso con todas las garantías (art. 24.2 CE), el único parámetro de control será el del derecho a la libertad. Así, este Tribunal ha reiterado, por un lado, que los problemas de motivación en las resoluciones que acuerdan medidas limitativas de derechos fundamentales conciernen directamente al propio derecho fundamental sustantivo y no, autónomamente, al derecho a la tutela judicial efectiva (por todas, STC 122/2009, de 18 de mayo, FJ 2) y, por otro, que el transcurso del plazo previsto legalmente para el mantenimiento de una situación de privación de libertad determina, sin más, la lesión del derecho a la libertad personal (STC 99/2006, de 27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anterior, y para despejar cualquier posible equívoco, también debe ponerse de manifiesto que el objeto de análisis es una detención que ya desde el comienzo fue acordada por la autoridad judicial, por lo que la regulación de su plazo máximo absoluto son las 72 horas previstas en el art. 497 de la Ley de enjuiciamiento criminal (LECrim) y no las referidas en el art. 17.2 CE. En efecto, a pesar de que en este precepto constitucional aparece genéricamente la mención de detención preventiva, su ámbito de aplicación no alcanza a las detenciones acordadas por una autoridad judicial (así ya STC 37/1996, de 11 de marzo, FJ 4), como se deriva claramente de la circunstancia de que ese mismo precepto establece que antes del transcurso de dicho plazo el detenido debe ser puesto en libertad o a disposición de la autoridad judicial. La detención judicial, por tanto, cuenta con un plazo máximo de 72 horas previsto legalmente en el art. 497 LECrim en aplicación de la remisión a la ley prevista en el art. 17.1 CE y no el constitucionalizado en el art. 17.2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al fondo de la cuestión debatida, y tomando en consideración lo ya señalado de que la medida controvertida en este amparo —la detención judicial— se trata de un supuesto de privación de libertad desarrollado legislativamente conforme a lo previsto en el art. 17.1 CE y de que el único objeto de impugnación en este amparo es la eventual extralimitación temporal de la medida, ha de señalarse que es doctrina reiterada de este Tribunal que el art. 17.1 CE, al establecer que “nadie puede ser privado de su libertad, sino con la observancia de lo establecido en esta artículo y en los casos y en la forma previstos en la ley”, implica que la ley, por el hecho de fijar las condiciones de tal privación, es desarrollo del derecho a la libertad, teniendo un papel decisivo al conformar no sólo el presupuesto habilitante de la medida sino también el tiempo razonable en que puede ser admisible el mantenimiento de dicha situación. Por ello, este Tribunal ha concluido que el derecho a la libertad se vería conculcado cuando se actúa bajo la cobertura improcedente de una ley o cuando se opera contra lo dispuesto en la misma, destacando que los plazos de privación de libertad han de cumplirse estrictamente por los órganos judiciales y que en caso de incumplimiento se vería afectada la garantía constitucional de la libertad personal (por todas, STC 99/2006, de 27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la normativa legal en materia de plazos de la detención judicial está prevista en el art. 497 LECrim, en cuyo párrafo primero se dispone, para las situaciones en que la detención no haya sido practicada por autoridad judicial, que “[s]i el Juez o Tribunal a quien se hiciese la entrega fuera el propio de la causa … elevará la detención a prisión, o la dejará sin efecto, en el término de setenta y dos horas, a contar desde que el detenido le hubiese sido entregado”. Por su parte, el párrafo segundo del art. 497 LECrim, y ya específicamente para los supuestos de detención judicial, establece que “[l]o propio, y en idéntico plazo, hará el Juez o Tribunal respecto de la persona cuya detención hubiere él mismo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ha quedado acreditado en las actuaciones y ha sido expuesto más detalladamente en los antecedentes, se pone de manifiesto, en primer lugar, que el órgano judicial, con sede en Marbella, dictó Auto de 26 de junio de 2006 acordando la detención del recurrente, autorizando su traslado hasta las dependencias policiales en Málaga, lo que se llevó a efecto por agentes del Cuerpo Nacional de Policía de la comisaría de Estepona el día 27 de junio de 2006, sobre las nueve horas y cincuenta minutos, quienes hicieron entrega del detenido en la comisaría de Málaga a las once y quince minutos de ese mismo día. En segundo lugar, también se destaca que por Auto de 28 de junio de 2006 se decretó la permanencia del recurrente en calidad de detenido en las dependencias de la comisaría de policía de Málaga a disposición del Juzgado, ordenando su presentación el día 1 de julio de 2006 a las 9:30 horas de la mañana para recibirle declaración y legalizar su situación personal, argumentando que no se había superado el plazo máximo de detención previsto en los arts. 17 CE y 497 LECrim. Del mismo modo, se acredita que al recurrente se le tomó declaración judicial el día previsto y que por Auto de ese mismo día 1 de julio de 2006 se acordó su situación de prisión provisional eludible mediante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se constata que esta decisión judicial de prolongación de la situación detención fue confirmada en apelación por el Auto de 7 de septiembre de 2006 con el argumento, frente a la queja de que se había prolongado la detención judicial más allá del plazo legalmente previsto de 72 horas, de que conforme a la literalidad del art. 497 LECrim, ese plazo no se debía computar desde el momento en que se ejecutó materialmente la detención sino desde que desde que el detenido le hubiera sido entregado al Magistrado instructor, lo que no se verificó hasta las 20:30 horas del día 28 de junio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la doctrina constitucional expuesta, y tal como también solicita el Ministerio Fiscal, debe concluirse que las resoluciones judiciales impugnadas han vulnerado el derecho del recurrente a su libertad personal (art. 17.1 CE) por haber prolongado la situación de privación de libertad del recurrente fuera del plazo de 72 horas previsto legalmente en el art. 497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argumentación vertida en el Auto de apelación para justificar que, conforme a la literalidad del art. 497 LECrim, el cómputo del plazo de las 72 horas de la detención judicial debe realizarse desde que el detenido le hubiera sido entregado al Magistrado instructor ni resulta inequívoco desde una interpretación literal de dicho precepto ni, en cualquier caso, es asumible desde la perspectiva que disciplina la libertad personal como derecho fundamental del ciudadano (art. 17.1 CE). Ciertamente, tal como ya se ha trascrito más arriba, el párrafo primero del art. 497 LECrim, al regular la actuación de la autoridad judicial en los casos en que le sea entregado un ciudadano objeto de una detención por un particular o por autoridad o agente de policía judicial, dispone que en el plazo de 72 horas “a contar desde que el detenido le hubiese sido entregado” deberá regularizar su situación, elevándola a prisión o dejándola sin efecto. Igualmente, el párrafo segundo del art. 497 LECrim, y ya específicamente para los supuestos en que la detención haya sido acordada judicialmente, dispone que el Juez deberá hacer “lo propio, y en idéntico plazo”. Por tanto, desde la literalidad del precepto, y teniendo en cuenta la remisión del párrafo segundo al párrafo primero del art. 497 LECrim, lo único que es inequívoco es que la ley, en los casos como el presente de detención judicial, impone que el Juez “en idéntico plazo” —es decir, 72 horas— haga “lo propio” —esto es, elevar la detención a prisión o dejarla sin efecto. Pero, en ningún caso, que el cómputo de esas 72 horas deba realizarse “desde que el detenido le hubiese sido entregado”.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 vez descartado que la literalidad del art. 497 LECrim lleve a una única conclusión interpretativa sobre el momento a partir del cual debe realizarse el cómputo de las 72 horas, además, como ya se ha señalado, el pretender desplazar el comienzo de ese cómputo desde el momento en que efectivamente se produjo materialmente la detención en ejecución de la decisión judicial hasta que el detenido sea materialmente puesto a disposición judicial, no sólo resulta contradictorio con la propia naturaleza de la detención judicial y su delimitación con la detención gubernativa, sino que también es lesiva de la efectividad de la garantía constitucional del derecho a la libertad (art. 17.1 CE), en relación con la previsión del establecimiento de una limitación temporal precisa de esta concreta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párrafo primero del art. 497 LECrim establece el momento de la entrega del detenido al Juez como momento inicial para el cómputo del plazo para que la autoridad judicial regularice la situación del detenido, respondiendo a la lógica de que esa puesta a disposición judicial trae causa en una previa situación de detención practicada por un particular o por una autoridad o agente de la policía judicial y de que, en estos casos, la entrega a la autoridad judicial actúa como garantía judicial a posteriori de la libertad personal del detenido. Por el contrario, la detención judicial regulada en el párrafo segundo del art. 497 LECrim es una privación de libertad que no trae causa de una decisión ajena a la propia autoridad judicial y, por tanto, la intervención de la policía no se hace en virtud de una potestad o habilitación legal autónoma, sino que se limita a ser una mera ejecución de la decisión judicial. En ese contexto, y en los términos señalados por el Ministerio Fiscal, tomando en consideración que la única finalidad de la detención realizada por parte de la policía en este caso era la de ejecutar la decisión judicial de detención para ponerlo a su disposición, no resulta posible aplicar como inicio del cómputo temporal uno diferente al de la propia ejecución material de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no puede ser objetada con el argumento de que la autoridad judicial no podría adoptar una decisión sobre la situación del detenido si previamente no se le ha hecho entrega material del mismo. Con carácter general, en la medida en que en los casos de detención judicial la policía no deja de ser un mero instrumento de ejecución de lo acordado judicialmente, ya desde el mismo momento de la detención, la autoridad judicial, como no puede ser de otro modo, tiene una plena disponibilidad sobre la situación del detenido. Esa plena disponibilidad judicial es bien patente en el presente caso en que, como ya se ha expuesto, la policía se limitó estrictamente a seguir lo acordado en el Auto de detención, tanto en lo referido a la ejecución material de la misma como a la entrega del recurrente en la comisaría de Málaga, y en el Auto de 28 de junio de 2006, tanto en lo referido a que se mantuviera al recurrente en calidad de detenido en esa misma comisaría a disposición del Juzgado como a que fuera conducido el día 1 de julio de 2006 al Juzgado para la toma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pretensión de que el cómputo del plazo se inicie sólo con la entrega material del detenido a la propia autoridad judicial, implicaría la existencia de un periodo de situación de privación de libertad —la que transcurre entre la ejecución material de la detención judicial por parte de la policía y la efectiva entrega a la autoridad que ordenó la detención— en que a pesar de contarse con un presupuesto habilitante —la orden judicial de detención— sin embargo, no contaría ni con la limitación temporal propia de la detención gubernativa —que no lo es por no haberse decidido la detención por dicha autoridad— ni con la de la detención judicial, por pretenderse excluir de su cómputo. Esto supondría consagra por vía interpretativa un supuesto de privación de libertad de tiempo potencialmente ilimitado y, por ello, lesivo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la perspectiva del art. 17.1 CE, el plazo de 72 horas a que, por remisión, se refiere el párrafo segundo del art. 497 LECrim en los supuestos de detención acordada por autoridad judicial, debe computarse desde que se verifica la ejecución material de la decisión de detención. Esto determina que, en el presente caso, al haber tenido lugar la ejecución material de la detención sobre las nueve horas y cincuenta minutos del día 27 de junio de 2006 y, por tanto, finalizar el plazo máximo legal a las nueve horas y cincuenta minutos del día 30 de junio de 2006, la decisión judicial de prorrogar la detención hasta las nueve horas y treinta minutos del 1 de julio de 2006 vulneró el derecho del recurrente a su libertad personal (art. 17.1 CE), para cuyo restablecimiento, habida cuenta de la cesación de los efectos provocados por dicha decisión, bastará con la anulación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Tomás Olivo López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libertad personal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del Juzgado de Instrucción núm. 5 de Marbella de 28 de junio de 2006, dictado en las diligencias previas núm. 4796-2005 y del Auto de la Sección Tercera de la Audiencia Provincial de Málaga de 7 de septiembre de 2006, dictado en el rollo de apelación núm. 371-2006.</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