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1506-2007, promovido por don Jonathan Félix Levy Anselem, en su condición de tutor de don Alberto Levy Botbol, representado por la Procuradora de los Tribunales doña Encarnación Alonso León y bajo la dirección de la Letrada doña Anna Diez Llácer, contra la Sentencia de la Sala de lo Penal del Tribunal Supremo de 8 de enero de 2007, por la que se desestima el recurso de casación núm. 2257-2005 interpuesto contra la Sentencia de la Sección Quinta de la Audiencia Provincial de Barcelona de 27 de septiembre de 2005, dictada en el rollo núm. 79-2003. Ha comparecido doña Rosa Martínez Blanco, representada por el Procurador de los Tribunales don Julio Antonio Tinaquero Herrero y bajo la dirección del Letrado don Javier Nart Peñalver.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febrero de 2007, la Procuradora de los Tribunales doña Encarnación Alonso León, en nombre y representación de don Jonathan Félix Levy Anselem, en su condición de tutor de don Alberto Levy Botbol, y bajo la dirección de la Letrada doña Anna Diez Llácer, interpuso recurso de amparo contra las resoluciones judiciales que se mencionan en el encabezamiento, en las cuales se apreció su falta de legitimación activa para el ejercicio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Jonathan Félix Levy Anselem, en su condición de tutor de don Alberto Levy Botbol, interpuso querella contra doña Rosa Martínez Blanco, por supuestos delitos de estafa y apropiación indebida, que fue admitida a trámite por Auto del Juzgado de Instrucción núm. 23 de Barcelona de 20 de diciembre de 2002, dando lugar a las diligencias previas núm. 5605-2002, en las que ejerció la acusación particular. Tras formularse sendos escritos de acusación por el Ministerio Fiscal y por la acusación particular, se acordó por Auto de 4 de julio de 2003 la apertura del juicio oral, resultando competente para el enjuiciamiento de los hechos la Sección Quinta de la Audiencia Provincial de Barcelona en el rollo de sala núm. 79-2003.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defensa de la acusada planteó como cuestión previa en la vista oral celebrada el 20 de septiembre de 2005 que la acusación particular carecía de la necesaria legitimación, en primer lugar, porque el tutelado tenía plena capacidad y, en segundo lugar, porque, en cualquier caso, al ser el tutelado cónyuge de la acusada regía la prohibición del art. 103 de la Ley de enjuiciamiento criminal (LECrim) del ejercicio de la acción penal entre cónyuges. La Sala, en resolución in voce documentada en el acta de la vista oral, acordó rechazar el primero de los motivos, al existir una declaración judicial de incapacitación no revocada, y estimar el segundo. A esos efectos se argumenta que la acusación formulada se trata de un delito contra el patrimonio y el tutelado, si bien está separado judicialmente de la acusada, sigue siendo legalmente su cónyuge, por lo que debe aplicarse el art. 103.1 LECrim, en la redacción dada por el art. 3.3 de la Ley Orgánica 14/1999, de 9 de junio, que establece la prohibición de ejercitar acciones penales entre “los cónyuges, a no ser por delito o falta cometidos el uno contra la persona del otro o la de sus hijos, y por el delito de bigamia”. Por tanto, se concluye que la acusación particular no está legitimada para continuar con el ejercicio de la acción penal sino sólo con la civil, por lo que su presencia en el procedimiento sólo lo es en concepto de actor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acusada fue absuelta por Sentencia de 27 de diciembre de 2005. El recurrente interpuso recurso de casación, que fue tramitado por la Sala de lo Penal del Tribunal Supremo con el núm. 2257-2005, alegando, entre otros motivos, infracción del derecho a la tutela judicial efectiva (art. 24.1 CE) por no habérsele permitido el ejercicio de la acción penal respecto de un hecho en el que era víctima. El recurso fue desestimado, exponiendo el órgano judicial de casación que la cuestión de la interpretación del art. 103 LECrim resulta compleja a la vista de las últimas reformas legales que guardan alguna conexión con la influencia de las relaciones familiares de las partes en los procedimientos judiciales, lo que había motivado que la cuestión fuera elevada al Pleno de la Sala de lo Penal del Tribunal Supremo para su debate. Así, se señala en la Sentencia de casación que en dicho Pleno, en su sesión de 20 de diciembre de 2006, se acordó por mayoría mantener una interpretación literal de la norma, “ya que no concurren motivos para llevar a cabo una exégesis que se aparte de ello”, y rechazar la propuesta de considerar que de la excepción prevista en el art. 103.1 LECrim quedan excluidos aquellos cónyuges que estuvieran separados legalmente o de hecho o en proceso judicial de separación, divorcio o nulidad de su matrimonio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 la jurisdicción, al considerar que la interpretación literal del art. 103.1 LECrim efectuada por los órganos judiciales supone una restricción injustificada para la defensa de los intereses legítimos del recurrente en el seno del procedimiento penal, especialmente tomando en consideración que cabía una interpretación del mismo más favorable al principio pro actione. Así, el recurrente argumenta que cabría interpretar la referencia a “delito o falta cometidos el uno contra la persona del otro” no como limitado a delitos contra la integridad física o psíquica sino también a aquellas infracciones que supongan un quebranto de derechos fundamentales reconocidos constitucionalmente. Igualmente, el recurrente destaca que, respecto de la interpretación del término “cónyuge”, si bien el art. 103 LECrim tiene su fundamento en la protección y salvaguarda de la institución familiar, dicha interdicción no puede ser equiparada a la imposibilidad de ejercer la acción penal en supuestos de separación legal en que los lazos de afectividad ya están rotos. Por último, el recurrente también señala la circunstancia de que si a los cónyuges separados legalmente no les alcanza la exención de responsabilidad del art. 268.1 del Código penal carece de sentido que pueda haber obstáculos procesales para que éstos puedan accionar penalmente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julio de 2008, acordó admitir a trámite la demanda de amparo y dirigir atenta comunicación a los órganos judiciales para la remisión de copia testimoniada de las actuaciones y el emplazamiento a quienes hubieran sido parte en este procedimiento para que pudieran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9 de octubre de 2008, tuvo por recibido testimonio de las actuaciones, por personado al Procurador de los Tribunales don Julio Antonio Tinaquero, en nombre y representación de doña Rosa Martínez Blanco, y, a tenor del art. 52 de la Ley Orgánica del Tribunal Constitucional, acordó dar vista de las actuaciones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24 de noviembre de 2008, interesó que se otorgara el amparo por vulneración del derecho a la tutela judicial efectiva (art. 24.1 CE) y que se anularan las resoluciones judiciales impugnadas con retroacción de actuaciones al momento del juicio oral. A esos efectos, destaca que si bien la interpretación realizada por los órganos judiciales del art. 103.1 LECrim tiene acomodo en su tenor literal y no veda el acceso a la jurisdicción, ya que permite el ejercicio de acciones civiles en defensa de sus intereses, sin embargo, no ha sido debidamente valorada la circunstancia de que el incapaz no puede ejercer la acción de divorcio y que, por ello, si el vínculo conyugal subsistía no lo era por su voluntad. De ese modo, el Ministerio Fiscal concluye que ante las limitaciones legales a las que se veía sometido el incapaz y el grave perjuicio económico que se afirmaba que había padecido el vedarle el ejercicio de la acción penal, en virtud de una interpretación que no tenía en cuenta dichas limitaciones para el ejercicio de la acción de divorcio, ésta no puede considerarse respetuosa con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de 5 de noviembre de 2008, presentó sus alegaciones afirmando, en primer lugar, la falta de legitimación activa del tutor para sostener el presente recurso de amparo, toda vez que fue removido del cargo por Auto del Juzgado de Primera Instancia núm. 40 de Barcelona de 7 de diciembre de 2007, siendo nombrado como tutor la Fundació ProVellesa Autónoma. Subsidiariamente, solicita que el recurso de amparo sea desestimado, argumentando que la interpretación del art. 103.1 LECrim es una cuestión de mera legalidad ordinaria en la que no cabe apreciar que se haya incurrido en ningún defecto de motivación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4 de noviembre de 2008, presentó sus alegaciones dando por reproducidas las expuestas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9 de diciembre de 2011, se señaló para deliberación y fallo de la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del recurrente a la tutela judicial efectiva (art. 24.1 CE), desde la perspectiva del derecho de acceso a la jurisdicción, por haberle negado legitimación para ejercer la acusación particular por supuestos delitos de estafa y apropiación indebida contra su esposa, de la que estaba separado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concretar el objeto de este amparo, y teniendo en cuenta que dicho objeto queda delimitado por la pretensión deducida por el recurrente en su demanda de amparo, hay que poner de manifiesto que el recurrente en ningún caso está cuestionando en este proceso de amparo la constitucionalidad de la exclusión del ejercicio de la acción penal entre cónyuges prevista en el art. 103.1 de la Ley de enjuiciamiento criminal (LECrim), a la que reconoce que persigue un fin legítimo. Su pretensión se limita, exclusivamente, a que se declare que la interpretación de dicho precepto efectuada por los órganos judiciales en el sentido de equiparar el tratamiento de los cónyuges y quienes ya estén separados legalmente ha vulnerado su derecho a la tutela judicial efectiva. Por tanto, el análisis debe quedar limitado al eventual carácter lesivo del derecho de acceso a la jurisdicción penal de esta interpretación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fondo debe descartarse la causa de inadmisión alegada por la parte comparecida de falta de legitimación activa del recurrente con fundamento en que el tutor que interpuso este recurso de amparo en representación del incapaz ha sido removido del cargo con posterioridad a la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activa del recurrente en este recurso de amparo resulta indubitada conforme al tenor de los arts. 162.1 b) CE y 46.1 b) de la Ley Orgánica del Tribunal Constitucional (LOTC), toda vez que, en los términos en que han sido reiteradamente interpretados por este Tribunal (por todas, STC 208/2009, de 26 de noviembre, FJ 2), invoca un interés legítimo y ha comparecido en el previo proceso judicial que trae causa a este amparo. Del mismo modo, también se ha dado estricto cumplimiento en este recurso de amparo a las exigencias de comparecencia en juicio y representación toda vez que, conforme a lo establecido en el art. 7.2 de la Ley de enjuiciamiento civil —de aplicación a los procesos de amparo constitucional en virtud de la remisión contenida en el art. 80 LOTC—, la demanda de amparo fue interpuesta por la persona que entonces, en su condición de tutor, ostentaba la representación del recurrente, quien, a su vez, de acuerdo con lo previsto en el art. 81.1 LOTC, confirió la representación a un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circunstancia alegada por la parte comparecida de que con posterioridad a la presentación de la demanda de amparo se haya producido una remoción de la tutela y el nombramiento de un nuevo tutor no puede implicar la pretendida falta sobrevenida de legitimación activa, ya que el recurrente incapacitado sigue ostentando la condición de parte procesal legítima al no haber cesado en la titularidad del interés legítimo que dio lugar a la interposición de este amparo. Tampoco esa circunstancia determina un eventual incumplimiento sobrevenido de las exigencias de representación, ya que, ostentando el entonces tutor del recurrente la representación de éste y habiendo conferido para la comparecencia en este proceso su representación a un Procurador, no ha existido ningún acto del nuevo tutor revocatorio de la decisión de ejercitar la acción de amparo y el nombramiento de dicho Procurador que, en consecuencia, debe considerarse subsistente.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estudio de la invocación realizada, debe recordarse que es doctrina reiterada de este Tribunal que no existe una exigencia constitucional, derivada del art. 24.1 CE, que obligue al establecimiento de una acusación particular, toda vez que la función acusatoria aparece encomendada de manera primordial al Ministerio Fiscal (art. 124.1 CE) (por todas, STC 9/2008, de 21 de enero, FJ 3), en atención a la exclusiva naturaleza pública y la titularidad estatal del ejercicio del ius puniendi (por todas, STC 163/2001, de 11 de junio, FJ 2). Así, se ha concluido que la posibilidad de participación de la víctima del delito en el proceso penal a través del ejercicio de la acusación particular, al suponer la atribución o reconocimiento de un derecho de configuración legal, sólo resulta posible en los términos en que aparezca regulado por el legislador (por todas, STC 179/2004, de 21 de octubre, FJ 4). Ahora bien, también se ha puesto de manifiesto que en la medida en que el legislador ha optado por reconocer el derecho al ejercicio de la acción penal a los particulares y, más en concreto, al perjudicado por el delito o falta, dicho derecho entra a formar parte del derecho fundamental a la tutela judicial efectiva (art. 24.1 CE, en su concreta dimensión de acceso a la jurisdicción; por todas, STC 9/2008,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reiterado que el derecho de acceso a la jurisdicción penal que ostenta la víctima para el ejercicio de la acusación particular no supone un derecho fundamental, constitucionalmente protegido, a la condena penal de otra persona, sino que se concreta esencialmente en un ius ut procedatur, lo que implica el derecho a poner en marcha un proceso, substanciado de conformidad con las reglas del proceso justo, en el que pueda obtener una respuesta razonable y fundada en Derecho, que también queda satisfecho con una decisión de inadmisión o meramente procesal que apreciara razonadamente la concurrencia de un óbice fundado en un precepto expreso de la ley (por todas, STC 106/2011, de 20 de junio, FJ 2), incluyendo la falta de legitimación activa de quien pretendía el ejercicio de la acción penal bien sea como acusación popular (por todas, STC 67/2011, de 16 de mayo, FJ 2) o particular (por todas, STC 163/2001,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estas causas de inadmisión y óbices procesales, este Tribunal ha señalado que si bien su apreciación constituye una cuestión de estricta legalidad ordinaria —por lo que a este Tribunal le correspondería sólo revisar aquellas decisiones judiciales en las que tales presupuestos procesales se hayan interpretado de forma arbitraria, manifiestamente irrazonable o incurriendo en un error patente—, el principio pro actione prohíbe, además, que se interpreten dichos requisitos procesales de manera tal que por su rigorismo, por su formalismo excesivo o por cualquier otra razón revelen una clara desproporción entre los fines que dichos requisitos preservan y los intereses que sacrifican, pero sin que ello pueda entenderse como la forzosa selección de la interpretación más favorable a la admisión o a la resolución del problema de fondo de entre todas las posibles de las normas que la regulan (por todas, STC 237/2005,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los antecedentes, queda acreditado, por un lado, que los órganos judiciales, en aplicación literal del art. 103.1 LECrim, en la redacción dada por el art. 3.3 de la Ley Orgánica 14/1999, de 9 de junio, que establece la prohibición de ejercitar acciones penales entre “los cónyuges, a no ser por delito o falta cometidos el uno contra la persona del otro o la de sus hijos, y por el delito de bigamia”, negó al recurrente la posibilidad del ejercicio de la acción particular contra su esposa, de la que estaba separado judicialmente, por supuestos delitos de estafa y apropiación indebida, manteniendo únicamente la posibilidad de que ejerciera acciones civiles. Igualmente, queda acreditado que el procedimiento penal continuó hasta la obtención de una resolución sobre el fondo en virtud del ejercicio de la acusación sostenida por el Ministerio Fiscal si bien fue finalmente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que las resoluciones impugnadas no han vulnerado el derecho del recurrente a la tutela judicial efectiva (art. 24.1 CE), desde la perspectiva del derecho de acceso a la jurisdicción, en tanto que la interpretación del art. 103.1 LECrim realizada por los órganos judiciales respecto de la prohibición del ejercicio de la acción penal entre cónyuges, incluyendo a los separados legalmente, no sólo no puede ser calificada de irrazonable, arbitraria o incursa en error patente —lo que, en cualquier caso, no ha sido alegado por el recurrente—, sino tampoco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reconoce el propio recurrente, su pretensión era que los órganos judiciales hicieran una aplicación extensiva de la excepción prevista en el art. 103.1 LECrim, para excluir, en contra de su tenor literal, de su ámbito de aplicación a quienes estuvieran separados legalmente. Pues bien, lo cierto es que la interpretación finalmente asumida por los órganos judiciales no puede ser calificada de excesivamente formalista, ya que responde a un sentido gramatical y sistemático del concepto “cónyuge” utilizado en el art. 103.1 LECrim, toda vez que la separación judicial, en los términos del art. 85 del Código civil (CC), no supone una disolución del matrimonio, sino una mera suspensión de la vida en común y de la posibilidad de vincular bienes del otro cónyuge en el ejercicio de la potestad doméstica (art. 83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mismo modo, la decisión de no excluir de la excepción del ejercicio de la acción penal entre cónyuges a los que estén separados legalmente tampoco puede ser considerada desproporcionada si se ponderan los fines que dicha excepción preserva con los intereses que en este caso concreto se sacrifican. Empezando por esto último, deben tomarse en consideración dos aspectos por su relevancia. En primer lugar, que si bien es cierto que el objeto de controversia era el ejercicio de la acción penal por parte del recurrente como acusación particular, en su condición de perjudicado por una conducta supuestamente constitutiva de un delito patrimonial no violento de su cónyuge, la decisión judicial de negarle legitimación activa para ejercer dicha acción penal no implicó la imposibilidad de que en este caso concreto se obtuviera un pronunciamiento sobre el fondo de la pretensión de ejercicio del ius puniendi, toda vez que el Ministerio Fiscal sostuvo la acusación. En segundo lugar, que la decisión judicial controvertida quedó limitada al ejercicio de la acción penal, manteniéndose la posibilidad del ejercicio de la acción civil y, por tanto, la pretensión resarcitoria de los eventuales perjuicios que se hubieran ocasionado por parte de su cónyuge con esos supuestos delitos patrimoniales no violentos. Ello determina que, al derivar el ejercicio de la acción civil de un ilícito penal, el recurrente, en su condición de actor civil, mantuvo en el seno de este procedimiento penal incólumes sus posibilidades de proponer y practicar prueba respecto del carácter ilícito de la conducta e incluso de informar respecto del carácter delictivo de la conducta desarrollada por su esposa al ser éste un presupuesto jurídico de la acción de responsabilidad civil ex delicto, que expresamente le fue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interés sacrificado por el recurrente ha quedado limitado, exclusivamente, a la posibilidad de sostener la depuración de las eventuales responsabilidades penales en que hubiera podido incurrir su cónyuge, pero, en ningún caso, ha quedado privado de la posibilidad de obtener un pronunciamiento sobre la pretensión punitiva ni tampoco de participar activamente en este procedimiento en la depuración de las responsabilidades civiles que se hubieran derivado de aquellos hechos, incluyendo la práctica de prueba y la posibilidad de informe al Tribunal en defensa de sus intereses, sin que pueda, pues, hablarse propiamente de una lesión material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concreto contexto, asumiendo, como hacen el Ministerio Fiscal y el propio recurrente, que, con carácter general, la exclusión prevista en el art. 103.1 LECrim resulta justificada en la protección de intereses con relevancia constitucional reconocidos en el art. 39.1 CE, no cabe apreciar que de la argumentación sostenida por el recurrente se pueda concluir que esos intereses estén ausentes en los casos de cónyuges separados judicialmente, aunque pudieran existir otras soluciones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tanto las situaciones de divorcio como las de separación judicial puedan evidenciar, en palabras del recurrente, que los lazos de afectividad ya están rotos, no impide apreciar que ambas situaciones son jurídicamente bien distintas y que también lo son sus efectos, no siendo el menor de ellos, y sólo desde una perspectiva estrictamente civil, que en el caso de divorcio hay una disolución del vínculo, ausente de la separación judicial, que impide la producción de efectos legales de una eventual reconciliación (art. 88 CC). Igualmente, la circunstancia reseñada por el recurrente de que si a los cónyuges separados legalmente no les alcanza la exención de responsabilidad del art. 268.1 del Código penal (CP) carece de sentido que pueda haber obstáculos procesales para que éstos puedan accionar penalmente entre sí, puede resultar un elemento relevante en términos de una labor interpretativa propia de los órganos judiciales. Sin embargo, desde la perspectiva de control que es propia de este Tribunal Constitucional, no resulta concluyente. Más allá de que tanto la exclusión del ejercicio de la acción penal entre cónyuges como la previsión del art. 268 CP de excluir de responsabilidad penal a los autores de determinados delitos patrimoniales no violentos cuando existan determinadas relaciones de parentesco —que no alcanzan a los cónyuges separados judicialmente o de hecho— puedan coincidir en la finalidad perseguida, no tiene por qué producirse una plena identificación entre ambas previsiones ya que, en cualquier caso, la excepción prevista en el art. 103.1 LECrim, al referirse a todo tipo de delitos que no sean los cometidos por el cónyuge contra “la persona del otro o la de sus hijos, y por el delito de bigamia”, es mucho más amplia que la exclusión de responsabilidad penal del art. 268 CP, que queda limitada a los delitos no violentos previstos en los capítulos I a IX del título XIII del Código penal, correspondiente a los delitos contra el patrimonio y contra el orden socioeconómico.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argumento del Ministerio Fiscal, que sostiene que la vulneración del art. 24.1 CE se habría producido por no haberse valorado por las resoluciones judiciales en la interpretación y aplicación al caso concreto del art. 103.1 LECrim, la imposibilidad del ejercicio de la acción de divorcio por la incapacidad del recurrente, es de destacar que éste es un argumento que, al margen de no haber sido alegado por el recurrente en su demanda de amparo, parte de un presupuesto que no ha quedado verificado ni acreditado en el caso concreto, ya que ninguna referencia aparece en la demanda de amparo o en las actuaciones en relación con un eventual intento de ejercicio de dicha acción de divorcio ante la jurisdicción civil que, por haber sido rechazado, tuviera que haber sido asumido y ponderado por los órganos judiciales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concurre la vulneración aducida por el recurrente, pues no cabe apreciar que se haya efectuado una interpretación contraria al principio pro actione del art. 103.1 LECrim para concluir que a los cónyuges separados judicialmente también les alcanza la prohibición de ejercicio de acción penal entre ellos, y el presente amparo debe ser denegado.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Jonathan Félix Levy Anselem, en su condición de tutor de don Alberto Levy Botbol.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