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por pérdida sobrevenida de su objeto, del recurso de inconstitucionalidad 5040-2000, interpuesto por el Gobierno de la Junta de Andalucía, contra el art. 1 del Real Decreto-ley 4/2000, de 23 de junio, de medidas urgentes de liberalización en el sector inmobiliario y transportes.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Constitucional el día 22 de septiembre de 2000, la Letrada de la Junta de Andalucía, en representación de su Gobierno, plantea recurso de inconstitucionalidad contra el art. 1 del Real Decreto-ley 4/2000, de 23 de junio, de medidas urgentes de liberalización en el sector inmobiliario y transportes.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fundamentación del recurso, es resumidamente, la que a continuación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punto de partida se señala que el precepto recurrido vulnera los arts. 86.1, 137 y 149.1.18 CE, así como los arts. 13.4 y 8 del Estatuto de Autonomía para Andalucía (EAAnd).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infracción del art. 86.1 CE, esto es, a la existencia o no de la situación de “extraordinaria y urgente” necesidad que habilita para el uso del Decreto-ley, aunque se parta de una interpretación amplia de los presupuestos habilitantes (SSTC 29/1982 y 6/1983), no puede ignorarse el límite impuesto por aquel precepto constitucional que, según esas mismas Sentencias, impide el uso abusivo o arbitrario de dicho instrumento jurídico, siendo necesario que se manifieste con claridad que estamos ante situaciones imprevisibles o difíciles que exijan una rápida respuesta.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basta con descender a la lectura de la exposición de motivos del decreto-ley impugnado para apreciar que no se da el presupuesto habilitante, pues no se traduce en respuestas inmediatas ni instantáneas, ni las mismas se dirigen a dar respuesta a situaciones imprevisibles o difíciles de la economía. En cuanto a lo primero, porque la adición del párrafo tercero del art. 16 de la Ley 6/1998, de 13 de abril, de régimen del suelo y variaciones no se ha previsto que sea de aplicación a los procedimientos en trámite. Y otro tanto ocurre con respecto a la modificación del art. 9, párrafo segundo, de la misma Ley 6/1998, que exige la modificación de los instrumentos de planeamiento, modificación que es de compleja tramitación. En cuanto a lo segundo, tampoco se pretende dar respuesta normativa a situaciones imprevisibles o difíciles de la economía, sino a otras de carácter perfectamente previsible, de acuerdo con la exposición de motivos del decreto-ley. Por tanto, no se explicita ni se razona la conexión entre la situación y las medidas de adoptar, según exige la doctrina constitucional (SSTC 29/1982, FJ 3; y 182/1997,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 otro lado, el art. 86 CE afirma que mediante el decreto-ley no puede afectarse al régimen de las Comunidades Autónomas (STC 29/1986), lo que efectivamente se produce en este caso, al posibilitarse que las Administraciones públicas que carecen de competencias en materia de urbanismo incidan en la transformación del suelo urbanizable.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infracción del art. 149.1.13 y 18, títulos que se citan en la disposición final como cobertura del decreto-ley, se produce porque la intervención del Estado en materia de urbanismo sólo encuentra justificación ex art. 149.1.1 CE cuando se trate de fijar el régimen jurídico de la propiedad y la cuantía de las indemnizaciones expropiatorias (STC 61/1997), que determina también la conexión con el art. 149.1.18 CE, pero no es este el supuesto que no ocupa. Tampoco se produce en este caso la incidencia del art 149.1.13 CE, pues la exposición de motivos afirma que la norma pretende incrementar el suelo urbanizable disponible, para alcanzar una reducción de los precios de la vivienda, lo que manifiesta que los títulos más específicos son los de ordenación del territorio, urbanismo y vivienda, de competencia autonómica, títulos que deben prevalecer sobre el título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infracción competencial, con igual fundamentación, se predica tanto del apartado 1 como del apartado 2 del art. 1 y en cuanto al apartado 2 se impugnan, a su vez, sus dos apartados aunque uno de ellos no haya sufrido modificación alguna respecto a su anterior redacción.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al apartado 3 del art. 1 del Real Decreto-ley, se considera que conculca el art. art. 13.4 y 8 EAAnd, en relación con los arts. 137, 140 y 149.1.18 CE, toda vez que la nueva redacción de los apartados 1 y 3 del art. 16 de la Ley 6/1998 que se introducen carece de título habilitante, ya que las actuaciones de planeamiento que han de preceder a la transformación de suelo urbanizable se inscribe en la materia de urbanismo. A ello se añade la vulneración de las competencias de los municipios, cuya potestad de dirección del desarrollo urbanístico resulta menoscabada en beneficio de los particulares. Las innovaciones procedimentales que se contienen en el nuevo apartado 3 del art. 16 de la Ley 6/1998 desconocen también que dicha regulación procedimental es instrumental respecto de la competencia sustantiva (STC 227/1988, FJ 32, entre otras), de lo que se deriva que la competencia estatal para establecer el procedimiento administrativo común no puede extenderse imponiendo especialidades en los procedimientos sectoriales.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la representación procesal del Gobierno autonómico solicita del Tribunal que declare la inconstitucionalidad del art. 1 del Real Decreto-ley 4/2000.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del día 17 de octubre de 2000, el Pleno del Tribunal, Sección Cuarta, acordó admitir a trámite el recurso de inconstitucionalidad y dar traslado de la demanda y documentos presentados, conforme al art. 34 de la Ley Orgánica del Tribunal Constitucional (LOTC), al Congreso de los Diputados y al Senado, por conducto de sus Presidentes, y al Gobierno, a través del Ministerio de Justicia, al objeto de que en el plazo de quince días puedan personarse en el procedimiento y formular alegaciones. También acordó publicar la incoación del recurso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27 de octubre de 2000 se registra en el Tribunal un escrito de la Presidenta del Congreso de los Diputados mediante el cual se comunica al Tribunal el acuerdo adoptado por la Mesa de la Cámara de no personarse en el proceso ni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31 de octubre de 2000 la Presidenta del Senado se dirige al Tribunal comunicándole que dicha Cámara se persona en el proceso y ofrece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el día 3 de noviembre de 2000, se persona en el procedimiento y formula las alegaciones que a continuación, resumidamente,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exponiendo el objeto y alcance del artículo impugnado. Recuerda, a estos efectos, que los tres apartados del art. 1 del Real Decreto-ley 4/2000 dan nueva redacción o adicionan tres preceptos de la Ley 6/1998, de 13 de abril, sobre régimen del suelo y valoraciones (LRSV): el 9.2, el 15 y el 16. En concreto, 1) el apartado 1 suprime el último inciso de la regla 2 del art. 9 LRSV, que especificaba que el planeamiento general podría clasificar como suelo no urbanizable los terrenos que el planeamiento “considere inadecuados para un desarrollo urbano”, de modo que —a juicio del Abogado del Estado— mejora la coherencia interna de la LRSV al reducir la “libertad casi omnímoda” reconocida al planificador para clasificar suelo como “no urbanizable” en contra del carácter residual que, como novedad destacada en el seno de la LRSV, se vino a reconocer a tal clase de suelo; 2) con respecto al art. 15 LRSV, después de admitir que el sentido de su nuevo apartado 2 es dudoso, considera que es “más lógico y plausible” entender que cuando reconoce legitimación para promover la transformación del suelo urbanizable a las Administraciones públicas “sean o no competentes para la aprobación del correspondiente planeamiento de desarrollo”, se está refiriendo, no a las Administraciones públicas propietarias de suelo —que estarían incluidas, como un propietario privado, en el, ahora, apartado 1—, sino a las Administraciones cuyas competencias y funciones les otorguen un interés en la transformación del suelo, y 3) finalmente, la novedad introducida en el art. 16 LRSV es doble. Consiste, de una parte, en la introducción de un nuevo inciso al apartado 1, en el sentido de añadir dos nuevos momentos a quo (proyecto de delimitación, planeamiento de iniciativa privada) a los ya preexistentes (planeamiento general que delimita ámbitos o “se hayan establecido las condiciones para su desarrollo”) en punto a la delimitación del alcance del derecho a la transformación del suelo urbanizable. Según el Abogado del Estado, de este modo se dota de mayor efectividad al derecho a la transformación del suelo urbanizable, pero, “como es evidente, la nueva redacción del art. 16.1 LRSV sólo facilita la presentación de instrumentos de planeamiento o delimitación elaborados por la iniciativa privada que, por supuesto, habrán de ser sometidos a la Administración competente para su aprobación”. El nuevo apartado 3 del art. 16 LRSV, por su parte, incorpora una “regla básica”, que rige en todo caso, sobre el plazo de silencio positivo para la aprobación definitiva de planes de desarrollo formados por particulares o las Administraciones que carezcan de competencia para su aprobación. Plazo que será de seis meses, salvo que el legislador autonómico establezca otro y que, como novedad, se contará desde la presentación del plan, advirtiéndose —también como novedad— que el obligado trámite de información pública podrá efectuarse “a iniciativa de quien promueva el planeamiento”.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lo expuesto pasa a dar contestación a los argumentos de la demanda, empezando por descartar que se haya producido una infracción del art. 86.1 CE por supuesta falta de concurrencia de presupuesto habilitante.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Abogado del Estado, después de destacar que el Real Decreto-ley 4/2000 se integra en un conjunto más amplio de medidas liberalizadoras, conformado asimismo por los Reales Decretos-leyes 3/2000, 5/2000, 6/2000 y 7/2000, todos ellos de 23 de junio, advierte que la naturaleza y finalidad de las medidas incluidas en su art. 1 respecto al sector inmobiliario quedan aclaradas en los cuatro primeros párrafos de su exposición de motivos y, en particular, en el cuarto, en el que se hace mención a las rigideces advertidas en el mercado inmobiliario derivadas del incremento de la demanda y el consiguiente incremento del precio de los productos inmobiliarios, condicionado, a su vez, por la escasez de suelo urbanizado; situación frente a la que se pretende actuar eliminando las previsiones normativas que pueden limitar la oferta, con la intención de reducir el precio final de los bienes inmobiliarios. Recuerda, seguidamente, el representante del Gobierno los términos en que se desarrolló el debate de convalidación o derogación del real decreto-ley, en el que se acordó la convalidación y la sucesiva tramitación del texto como proyecto de ley por el procedimiento de urgencia, a los efectos de lo cual extracta algunos pasajes de la intervención del entonces Ministro de Fomento.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base de estos antecedentes, y después de recordar el sentido y alcance de los Decretos-leyes y del limitado margen de control que sobre su aprobación, en términos de apreciación de la concurrencia del presupuesto habilitante, le corresponde ejercer al Tribunal Constitucional (cfr. STC 29/1982, de 31 de mayo, FJ 3), el Abogado del Estado apunta que el art. 1 del Real Decreto-ley 4/2000 no puede considerarse aisladamente, sino como una pieza del conjunto de medidas liberalizadoras plasmadas en todos los reales decretos-leyes de 23 de junio de 2000, de lo que deduce que el examen de la conexión de sentido entre situación y medida a la que se refiere la doctrina constitucional debe abarcar todas estas normas, lo que no se hace en el escrito rector de este recurso. No hay razón para dudar de que, tal y como se afirma en la exposición de motivos del Real Decreto-ley 4/2000, efectivamente existía una situación económica que hacía necesaria la adopción de medidas urgentes para “evitar la aparición de desequilibrios macroeconómicos” o “efectos indeseables”; ni cabe poner en tela de juicio que hayan aparecido “elementos de comportamiento imprevisible” desfavorables para la evolución positiva de la economía española. Del hecho de que no se hubieran recurrido todos los reales decretos-leyes de referencia extrae el Abogado del Estado la conclusión de que existía una convicción compartida de que se estaba en presencia de un caso de extraordinaria y urgente necesidad que justificaba la adopción de las medidas incluidas en ellos, o al menos de algunas de dichas medidas. En todo caso, “con los elementos de juicio que se ofrecen en este proceso no cabe poner en tela de juicio la existencia de una situación general que demandaba una acción normativa liberalizadora de carácter urgente”. En apoyo de esta conclusión se citan las SSTC 6/1983, de 4 de febrero, FJ 5, y 182/1997, de 28 de octubre,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Afirmada la situación general de extraordinaria y urgente necesidad, de lo único que cabría dudar, a juicio del representante del Gobierno, es de que concurra el requisito de la conexión de sentido, es decir, de que las modificaciones introducidas en la LRSV por el Real Decreto-ley 4/2000 sean una respuesta congruente o adecuada, y ello en el bien entendido de que el juicio que le compete hacer al respecto al Tribunal Constitucional debe contraerse a verificar la existencia o no de abuso o arbitrariedad, sin entrar a valorar el acierto o desacierto, incluso demostrable, de la medida (STC 111/1983, de 2 de diciembre, FJ 7), ni confundir tal análisis con un control de proporcionalidad, que abarca más elementos y reviste mayor intensidad y penetración. En este sentido, afirma el Abogado del Estado que la demanda pretende incitar al Tribunal Constitucional a efectuar un juicio de proporcionalidad similar al que cabría respecto de una disposición reglamentaria, impropio del examen de la concurrencia del presupuesto habilitante para el dictado de un real decreto-ley.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que la finalidad de las medidas incluidas en el art. 1 del Real Decreto-ley 4/2000 consiste en la eliminación de las rigideces del mercado, propiciando un incremento del suelo urbanizable y urbanizado que tenga efectos positivos sobre el precio final de la vivienda y demás construcciones, insiste el Abogado del Estado en que el examen de la conexión de sentido no puede consistir en llegar a determinar si existe garantía absoluta de que la medida alcanzará su finalidad, y ni siquiera puede llegar a requerir la demostración de una probabilidad suficiente ex ante. Hacerlo así resultaría poco realista y conduciría al Gobierno a la inacción. El Tribunal Constitucional debe verificar sencillamente si resulta patente la falta de racionalidad de la relación entre la medida y el objetivo perseguido, sin interrogarse sobre su mayor o menor probabilidad de acierto ni entrar en discutibles consideraciones acerca de su bondad técnica.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Bajo tales parámetros, el representante del Gobierno descarta que las medidas objeto del artículo recurrido resulten arbitrarias o abusivas, en el sentido de manifiestamente desprovistas de racionalidad, por manifiestamente incongruentes o inadecuadas respecto del objetivo que pretenden alcanzar. 1) La modificación del art. 9.2 LRSV “es claramente adecuada a la finalidad de aumentar el suelo urbanizable y, mediante ello, abrir mayores posibilidades de transformarlo en suelo urbanizado”, en la medida en que restringe la libertad del planificador para clasificar discrecionalmente suelo como no urbanizable. 2) En el caso del art. 15 LRSV, “es claro que se orienta a ampliar o abrir mayores posibilidades de impulsar la urbanización”, por lo que persigue el incremento de la oferta de suelo urbanizado, “sea mayor o menor la real efectividad que vaya a tener”. 3) Y, finalmente, las novedades introducidas en el art. 16 LRSV también encierran el suficiente grado de congruencia y adecuación a la finalidad declarada: es evidente que la ampliación de los supuestos en que cabe ejercitar el derecho de transformación del suelo “favorece su urbanización” (apartado 1), como también puede concluirse que la fijación de un plazo para el silencio positivo resulta “beneficioso para acometer un proceso urbanizador, al dar mayor seguridad jurídica sobre la legitimación de las actuaciones de gestión urbanística”, a lo que añade que “otro tanto cabe decir de la medida consistente en facilitar el cumplimiento del trámite de información pública” (apartado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conclusiones se complementan con la afirmación de que los argumentos contenidos en la demanda no pueden compartirse, según sostiene el Abogado del Estado. En primer lugar, porque las críticas vertidas sobre el alcance de los argumentos expresados en la exposición de motivos del real decreto-ley recurrido implican exigir a este tipo de normas un requisito formal de motivación asimilable al que el art. 54 de la Ley 30/1992 exige para los actos administrativos, requisito que, sin embargo, la Constitución no prevé, pues basta con que su parte expositiva o el expediente para su elaboración ofrezcan elementos suficientes de juicio para entender que respetan el supuesto constitucional de hecho previsto para su emisión, siendo así que en el presente caso habría quedado demostrado que concurren elementos “más que suficientes” de juicio para entender que concurre el presupuesto constitucional habilitante.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el carácter estructural del problema que se pretende atajar excluye de suyo que pueda convertirse en un caso de extraordinaria y urgente necesidad que habilite la aprobación de un decreto-ley. “No hay” —afirma el Abogado del Estado— “el más mínimo fundamento en la CE para establecer una suerte de correlación coyuntura/decreto-ley frente a estructura/ley ordinaria”. La urgencia puede consistir, como se indica en la exposición de motivos del Real Decreto-ley 4/2000, en incidir “de forma inmediata” en el comportamiento de los agentes económicos. Se intenta corregir un problema estructural mediante normas de inmediata eficacia que incidan desde el momento de su aplicación sobre los agentes económicos, sin que quepa dudar de esa inmediatez. 1) La reforma del art. 9.2 LRSV incide inmediatamente sobre el ejercicio de la potestad de planificación, lo que supone —incluso en la interpretación menos generosa sobre su alcance inmediato, reducida a los procesos de planificación iniciados después del 24 de junio de 2000— que el precepto tendría incidencia inmediata en el comportamiento de los agentes económicos, que saben que pro futuro no existe la posibilidad de libre clasificación de suelo como no urbanizable (en comparación con la STC 23/1993, de 21 de enero, FJ 6). 2) El nuevo art. 15.2 LRSV confiere legitimación a las Administraciones no competentes en materia urbanística para promover la transformación del suelo desde la fecha misma de entrada en vigor del Real Decreto-ley 4/2000. 3) En términos similares, desde ese día, en aplicación del art. 16 reformado, tanto esas Administraciones como los particulares quedan facultados para presentar proyectos de delimitación o las propuestas de planeamiento que permitan luego presentar el correspondiente planeamiento de desarrollo que permita ejecutar la urbanización y, finalmente, desde esa fecha podrán presentar instrumentos de planeamiento de desarrollo que resultarán definitivamente aprobados por silencio desde su fecha de presentación en el plazo de seis meses y el promotor del plan podrá ejercer su derecho de iniciativa en materia de información pública, siendo incluso superior la incidencia del nuevo art. 16.3 LRSV “si se interpretara que el nuevo plazo de silencio se aplica incluso a los procedimientos pendientes a la entrada en vigor del real decreto ley”. A estos efectos se hace notar que en la nueva redacción del precepto los seis meses “cubren las tres fases de aprobación inicial, provisional y definitiva y deben contarse desde la presentación del instrumento”.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trascripción literal de la STC 23/1993, de 21 de enero, FJ 5, concluye el Abogado del Estado que “no puede negarse la concurrencia del presupuesto habilitante exigido por el art. 86.1 CE para dictar el art. 1 del Real Decreto-ley 4/2000”.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Abogado del Estado rechaza que el artículo impugnado haya infringido el art. 86.1 CE por vulneración de los límites materiales del real decreto-ley, en concreto, la afectación del “régimen de las Comunidades Autónomas”, citando las SSTC 23/1993, FJ 2; 225/1993, FJ 2 A; y 228/1993, FJ 2, que admiten que el Estado use este instrumento normativo cuando tenga título competencial sustantivo, como aquí ocurre.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Defiende a continuación el representante del Gobierno la competencia estatal para dictar el art. 1 del Real Decreto-ley 4/2000 con apoyo en los títulos invocados en su disposición final segunda, títulos que vienen a coincidir (con excepción del plasmado en el art. 149.1.23 CE) con los invocados en la disposición final única de la LRSV. De ahí que advierta que algunos de los argumentos aquí manejados son reiterativos de los ya expuestos en los recursos de inconstitucionalidad núm. 3004-1998 y acumulados.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cobertura competencial expresamente invocada por el Real Decreto-ley objeto de impugnación, advierte el Abogado del Estado que su razonamiento ha de ceñirse a demostrar que el contenido del artículo citado tiene carácter de “base” (reglas 13 y 18 del art. 149.1) o de “condición básica” a los efectos del art. 149.1.1 CE, y ello centrándose en el concreto contenido del artículo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Afirma, en primer lugar, el Abogado del Estado que la modificación del art. 9.2 LRSV se ampara en los números 1 y 13 del art. 149.1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primer título invocado, el Abogado del Estado parte del dato de que la clasificación del suelo contenida en la LRSV se ofrece, según su art. 7, “a los efectos de esta Ley”, lo que supondría que tal clasificación es el basamento elegido por el legislador estatal para establecer los derechos y deberes de los propietarios y el régimen de valoraciones, siendo así que reposa en la distinción entre el suelo “ya transformado”, el que puede ser “objeto de transformación” y el “incompatible con su transformación”. De ahí que la exposición de motivos de la LRSV, en su apartado 2, afirme que las competencias estatales comprenden “inequívocamente la determinación de las distintas clases de suelo como presupuesto mismo de la definición de las condiciones básicas del derecho de propiedad urbana”.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Bajo este planteamiento, afirma el Abogado del Estado que la competencia estatal para las grandes clasificaciones de suelo, presupuesto del establecimiento de las condiciones básicas del art. 149.1.1 CE, no puede agotarse en la mera enunciación de las clases de suelo como puros nomina iuris vacíos de todo contenido sin poder concretar, siquiera mínimamente, el contenido de cada una de las clases de suelo, es decir, dar un mínimo definitorio para cada una de ellas, como vienen a hacer los arts. 8 a 11 LRSV. Si se toma, además, en cuenta la cláusula de equivalencia contenida en el art. 7, que supone la no imposición de las designaciones formales, resultará evidente que lo que el legislador estatal persigue es “uniformidad en la cosa”, una homogeneidad mínima en la definición de las tres grandes clases de suelo transformado, en transformación e incompatible con la transformación. Con apoyo en la STC 61/1997 [FFJJ 7 b) in fine, 8 y 15 a)], defiende el Abogado del Estado que si el legislador nacional tiene competencia, con arreglo al art. 149.1.1 CE, para establecer el mínimo definitorio de esas grandes clases de suelo, la tiene también para alterarlo parcialmente en una de ellas cuando, mediante esta operación, pretenda preservar mejor el carácter subsidiario del suelo urbanizable genérico y dotar de mayor coherencia interna a la LRSV.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modificación se ampararía también en el art. 149.1.13 CE pues se ha concebido como una medida que facilita la disponibilidad de suelo urbanizable para su transformación y, por tanto, tiende a incrementar la oferta de suelo urbanizable. Su carácter estructural no impide que pueda ser considerada, simultáneamente, como una medida de ordenación económica con efectos más o menos inmediatos en el corto y medio plazo sobre la oferta de suelo que puede ser transformado.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apartado 1 del art. 15 LRSV, se justifica en la competencia estatal del art. 149.1.1 CE (STC 61/1997, FFJJ 8 a 10) y complementariamente en las reglas 13 y 18 del mismo art. 149.1 CE. En lo relativo a la innovación introducida en el art. 15.2 LRSV se ampara, a juicio del Abogado del Estado, tanto en el art. 149.1.18 CE como en el art. 149.1.13 CE, no siendo incardinable en el art. 149.1.1 CE habida cuenta de que las Administraciones no ostentan la condición de ciudadanos y, por otra parte, no es verosímil que sean contempladas en el precepto en su condición de propietarias.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primer título invocado, el Abogado del Estado trae a colación lo afirmado en la STC 61/1997, FJ 26 a) —que advierte que la competencia exclusiva del Estado sobre las bases del régimen jurídico de las Administraciones públicas “no tiene por qué agotarse necesariamente en la fijación de unas bases expresadas de una vez por todas en una sola ley, sino que admite, sin desbordar por ello el concepto de lo básico, la determinación de bases relativas a un sector específico, como es el urbanismo”— para advertir, a la luz del contenido concreto del precepto, que la determinación de quiénes están o no legitimados para promover la transformación del suelo urbanizable constituye una base del régimen jurídico-administrativo del urbanismo. Y ello en el bien entendido de que tal legitimación supone, tal y como revelan las modificaciones del art. 16 LRSV, el derecho a elaborar y presentar los instrumentos de desarrollo precisos para emprender la transformación (art. 16.3) y, tal vez, el derecho a elaborar y presentar proyectos de delimitación o propuestas de planeamiento que permitan luego formular el instrumento de desarrollo (art. 16.1).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 juicio del Abogado del Estado, el precepto también podría apoyarse en el art. 149.1.13 CE, en la medida en que contiene un mandato implícito a las Administraciones públicas para que promuevan la transformación del suelo urbanizable, paliando así las rigideces del mercado inmobiliario y luchando contra los obstáculos que la escasez de oferta de suelo urbanizado opone al derecho a la vivienda (art. 47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Según defiende el representante del Gobierno, las novedades del art. 16 LRSV pueden ampararse en los tres títulos invocados.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dos primeras innovaciones incorporadas por el artículo —ampliar la lista de supuestos en que cabe ejercer el derecho de transformación del suelo urbanizable mediante la presentación del oportuno planeamiento de desarrollo y la fijación de un plazo para su aprobación definitiva— permiten hacer efectivo el derecho a urbanizar o a transformar el suelo urbanizable, siendo su regulación “conexa al derecho a urbanizar”, en los términos de la STC 61/1997, FJ 25 a). De ello deduce el Abogado del Estado la cobertura del art. 1491.1.1 CE, a lo que suma la posibilidad de invocar la regla 18 del mismo artículo pues no podría negarse la condición de “base del régimen jurídico-administrativo urbanístico” a la determinación uniforme de los supuestos en los que es posible formular instrumentos planificadores de desarrollo que gobiernen el proceso de urbanización, ni a la exigencia de un plazo para la aprobación definitiva de estos instrumentos de desarrollo. La anterior conclusión no se ve contradicha por que se reconozca a los legisladores autonómicos la facultad de establecer un plazo de silencio positivo, sin que ello suponga la creación de un inconstitucional Derecho supletorio. Lo básico en el nuevo art. 16.3 LRSV es la decisión misma de que la aprobación definitiva esté sujeta a un plazo de silencio positivo en torno a los seis meses, no ya desde la aprobación inicial sino desde la presentación del instrumento de desarrollo. Por ello, no sería constitucionalmente admisible la decisión del legislador autonómico de fijar un plazo de silencio positivo irrazonablemente divergente “en más” del de seis meses. Por otro lado, la doctrina de la STC 61/1997 prohíbe al Estado dictar normas supletorias sin respaldo competencial [FJ 12 c)], pero ello no es obstáculo para que dicte normas supletorias allí donde disponga de competencia, como aquí la tiene. Además, una correcta identificación de lo básico con la existencia de un plazo y la fijación de un criterio orientativo para su establecimiento permite disipar cualquier duda que pudiera albergarse sobre la posibilidad de aprobación de normas subsidiarias —mejor que supletorias— desde un título competencial para la definición de lo básico.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las dos innovaciones que se examinan tienen un aspecto o dimensión de medidas que pretenden lograr el incremento de la oferta de suelo urbanizado, por lo que se pueden incardinar en el art. 149.1.13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hace al nuevo inciso final del art. 16.3 LRSV, referido al trámite de información pública, el Abogado del Estado entiende que, en aplicación de la doctrina establecida en la STC 61/1997, FJ 25 c), encontraría cobertura en el art. 149.1.18 CE, por cuanto aquélla constituye, en último término, un modo de participación ciudadana en el procedimiento de aprobación de un instrumento de planeamiento. Algo que se muestra más apremiante en supuestos, como es el caso, en que los instrumentos de planeamiento son formulados por particulares o por Administraciones que no son las competentes para su aprobación, constituyendo, evidentemente, base del régimen jurídico de las Administraciones públicas la garantía de que sin información pública no habrá aprobación, por silencio, del planeamiento de desarrollo. De otra parte, el derecho de iniciativa conferido al promotor en relación con este trámite podría considerarse también como una medida favorecedora de la desaparición de rigideces del mercado inmobiliario y favorecedora del incremento de la oferta de suelo urbanizado, lo que nos reconduciría al art. 149.1.13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Rechaza, por último, la infracción de los arts. 137 y 140, pues de la garantía constitucional de la autonomía local no se deduce la atribución de ninguna competencia concreta ni impide que el legislador estatal o autonómico dicte normas que incidan en el urbanismo.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 alegato el Abogado del Estado solicitando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Letrada de la Junta de Andalucía, en representación de su Gobierno, ha interpuesto recurso de inconstitucionalidad contra el art. 1 del Real Decreto-ley 4/2000, de 23 de junio, de medidas urgentes de liberalización en el sector inmobiliario y transportes.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STC 137/2011, de 14 de septiembre, recaída en el recurso de inconstitucionalidad 5023-2000, promovido por 91 Diputados del Grupo Parlamentario Socialista del Congreso de los Diputados contra el art. 1 del Real Decreto-ley 4/2000, de 23 de junio, de medidas urgentes de liberalización en el sector inmobiliario y transportes ha declarado ya la inconstitucionalidad y nulidad de dicho art. 1 por vulneración del art. 86.1 CE. Por tanto, una vez que la norma discutida ha sido ya declarada nula por la Sentencia indicada, que vincula a todos los poderes públicos (arts. 38.1 y 39.1 de la Ley Orgánica del Tribunal Constitucional), el presente proceso de inconstitucionalidad núm. 5040-2000 ha quedado sin finalidad por desaparición sobrevenida de su objeto (STC 387/1993, de 23 de diciembre, FJ único), figura ésta de la extinción procesal “cuya integración dentro de nuestro sistema de justicia constitucional resulta plenamente viable, pese al silencio de la Ley Orgánica del Tribunal Constitucional, en razón a la virtualidad propia de los principios que inspiran la institución procesal” (ATC 14/1996, de 17 de enero, FJ único).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por pérdida sobrevenida de su objeto, del recurso de inconstitucionalidad 5040-2000, interpuesto por el Gobierno de la Junta de Andalucía, contra el art. 1 del Real Decreto-ley 4/2000, de 23 de junio, de medidas urgentes de liberalización en el sector inmobiliario y transportes.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