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agosto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5375-2011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5375-2011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Quinta de la Audiencia Provincial de Murcia, el 8 de marzo de 2011, en el rollo de apelación núm. 63-2011, únicamente en lo que se refiere a la pena privativa de libertad de un año de prisión y accesoria de inhabilitación especial para el derecho de sufragio pasivo durante el tiempo de condena, impuesta a don Rafael y don José Luis Segado Rodríguez.</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 condenatorios.</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5 de octubre de 2011 la Procuradora de los Tribunales doña María Jesús González Díez, en representación de don Rafael y don José Luis Segado Rodríguez, interpuso recurso de amparo invocando la vulneración del derecho de defensa, del derecho a un proceso con todas las garantías y del derecho a la presunción de inocencia (art. 24.2 CE), así como del derecho a la igualdad en la aplicación de la ley (art.14 CE), contra la Sentencia dictada por la Sección Quinta de la Audiencia Provincial de Murcia el 9 de marzo de 2011, en el rollo de apelación núm. 63-2011. También se impugna el Auto de la misma Sección de 19 de julio de 2011, que desestimó el incidente de nulidad de actuaciones interpuesto contra la Sentencia recaída en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que se impugna estimó el recurso de apelación interpuesto por la acusación particular, contra la Sentencia de 2 de noviembre de 2010 del Juzgado de lo Penal núm. 2 de Cartagena, y condenó a los demandantes, absueltos en instancia, como autores de un delito de estafa, concurriendo la atenuante de dilaciones indebidas, a la pena de un año de prisión, accesoria de inhabilitación especial para el derecho de sufragio pasivo durante el tiempo de condena, con fijación de la responsabilidad civil en ejecución de Sentencia conforme a las bases que establece la Sentencia, declarando la responsabilidad civil subsidiaria de la mercantil Gemsa e imponiendo a los acusados la mitad de las costas causadas en la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providencia de 5 de julio 2012, admitió a trámite la demanda de amparo y acordó la formación de pieza separada para la tramitación del incidente de suspensión, y se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escrito de 16 de julio de 2012, la representación de los demandantes reiteró la solicitud de suspensión, puesta de manifiesto mediante escrito presentado ante este Tribunal el 17 de febrero de 2012, de la ejecución de la pena de un año de prisión y de la ejecución de la determinación de la cuantía de la indemnización conforme a las bases de la Sentencia, pues de ejecutarse la Sentencia se les ocasionarían a los demandantes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17 de julio de 2012, el Fiscal ante el Tribunal Constitucional, tras exponer la doctrina constitucional en torno a la suspensión de las resoluciones judiciales, interesó únicamente la suspensión de la pena privativa de libertad y de las accesorias impuestas.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ATC 8/2011, de 14 de febrero, contiene la interpretación que este Tribunal ha realizado del art. 56.1 de la Ley Orgánica del Tribunal Constitucional (LOTC), en la redacción dada por la Ley Orgánica 6/2007, de 24 de mayo, que afirma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 (ATC 130/2010,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criterio de suspensión expuesto concurre en la ejecución de fallos judiciales que condenan a penas privativas de libertad, ya que “la libertad constituye un derecho cuya naturaleza convierte el perjuicio irrogado en irreparable, en caso de estimarse el amparo una vez cumplida parcial o totalmente la pena” (por todos ATC 15/2010, de 1 de febrero, FJ 1). Si bien este criterio no es absoluto, ya que en dichos supuestos “deben también ponderarse otras circunstancias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22/2009, de 26 de enero, FJ 2); “significativamente destaca la duración y gravedad de la pena impuesta, porque,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tesis del Ministerio Fiscal, procede estimar la pretensión de suspensión de la Sentencia impugnada en cuanto al cumplimiento de la pena privativa de libertad impuesta a los recurrentes, porque su ejecución puede ocasionarles perjuicios irreparables que harían perder su finalidad al recurso de amparo si se compara la duración de la pena impuesta, un año de prisión, con el tiempo que requiere la tramitación de un proceso de amparo (AATC 59/2008, de 20 de febrero, FJ 2; y 172/2008, de 23 de junio, FJ 2). Al acceder a la suspensión no se ocasiona perturbación grave de los intereses generales ni se está afectando a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suerte debe correr la pena accesoria de inhabilitación para el derecho al sufragio pasivo, que, de acuerdo con la doctrina consolidada de este Tribunal, debe seguir a la pena principal cuando ésta es de privación de libertad (por todos, AATC 144/1984, de 25 de enero, FJ único; 793/1988, de 20 de junio, FJ único; 267/1995, de 2 de octubre, FJ 2; y 97/1997, de 7 de abril,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responsabilidad civil, este Tribunal viene manteniendo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todos ATC 13/2012,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indicado, el Tribunal ha acordado excepcionalmente la suspensión en aquellos supuestos en los que el pago era susceptible de entrañar perjuicios irreparables atendidas su cuantía y las circunstancias del condenado (por todos ATC 113/2003, de 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fallo de la Sentencia dejó la fijación de la responsabilidad civil a la fase de ejecución de Sentencia conforme a las bases establecidas en los fundamentos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consideran aplicable la excepción por la cuantía solicitada por la ejecutante en demanda de ejecución de Sentencia, 5.366.405,39 euros, como así se hizo constar en el escrito que aportaron ante este Tribunal el 17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16 de julio de 2012 los demandantes apoyan la suspensión en las razones expuestas en el de 17 de febrero, si bien aportan resolución judicial que cifra la responsabilidad civil en 291.151,43 euros, sin que conste su firmeza.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los antecedentes fácticos expuestos parece evidente que no se puede valorar el posible perjuicio irreparable derivado del pago al haberse dejado su determinación a un momento posterior, ejecución de Sentencia, no concluido, circunstancia que en atención al carácter excepcional de la suspensión lleva a desestimar la referida a la responsabilidad civil, ATC 318/2003, de 13 de octubre, cuyo fundamento jurídico 2 remite a la previsión del art. 57 LOTC que permite modificar en el curso del juicio de amparo constitucional la suspensión o su denegación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 de vacaciones</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Quinta de la Audiencia Provincial de Murcia, el 8 de marzo de 2011, en el rollo de apelación núm. 63-2011, únicamente en lo que se refiere a la pena privativa de libertad de un año de prisión y accesoria de inhabilitación especial para el derecho de sufragio pasivo durante el tiempo de condena, impuesta a don Rafael y don José Luis Segado Rodríguez.</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los restantes pronunciamientos condenatorios.</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agosto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