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Francisco José Hernando Santiago,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medida cautelar de suspensión acordada en la presente pieza por la providencia de 3 de junio de 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5 de marzo de 2013, el Procurador de los Tribunales don Jaime Briones Méndez, actuando en nombre y representación de don Lluis Corominas Padullés, interpuso recurso de amparo constitucional contra la Sentencia de la Sala de lo Penal del Tribunal Supremo recaída el 28 de noviembre de 2012 que desestimó el recurso de casación núm. 913-2012 interpuesto contra la Sentencia de la Sala de lo Civil y Penal del Tribunal Superior de Justicia de Cataluña de 19 de marzo de 2012, dictada en el rollo de apelación núm. 29-2012, que anula la Sentencia de la Audiencia Provincial de Barcelona recaída el 21 de junio de 2011 en el procedimiento de jurado núm. 20-2011 (en la que se declaró no culpable al recurrente del delito de homicidio de que era acusado, al apreciar la circunstancia eximente completa de legítima defensa), ordenándose la celebración de un nuevo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en la misma demanda de amparo se solicitó de este Tribunal la suspensión de las resoluciones judiciales impugnadas, conforme al art. 56.6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junio de 2013 la Sala Segunda de este Tribunal acordó la admisión a trámite de la demanda de amparo, así como, por apreciar las condiciones a que se refiere el art. 56.2 LOTC, suspender la ejecución de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otra providencia de la misma fecha, la Sala acordó abrir pieza separada y conceder un plazo de diez días al Ministerio Fiscal y demás partes personadas para que efectuasen alegaciones respecto al mantenimiento de la medida cautelar de suspensión acordada en la indicada primera providencia de 3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11 de junio de 2013 la representación procesal del demandante de amparo pidió el mantenimiento de la medida cautelar adoptada, a fin de que el recurso de amparo no pierda su finalidad. Argumenta que la celebración del nuevo juicio, sin esperar al pronunciamiento de este Tribunal Constitucional, supondría un claro riesgo de perjuicio de imposible o muy difícil reparación, sometiendo al recurrente a un innecesario segundo juicio oral por idénticos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19 de junio de 2013 el Ministerio Fiscal informó favorablemente el mantenimiento de la medida de suspensión acordada, en atención a que el levantamiento de la suspensión supondría, en este caso, la continuación del proceso penal con la celebración de un nuevo juicio oral ante un tribunal de jurado con distinta composición, nuevo enjuiciamiento que, en sí mismo, significa un nuevo riesgo para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56.6 de la Ley Orgánica del Tribunal Constitucional (LOTC) atribuye a las Salas y Secciones de este Tribunal la facultad de adoptar, en la propia resolución de admisión a trámite de los recursos de amparo, medidas cautelares inaudita parte, en supuestos de urgencia excepcional. En el ejercicio de tal facultad, mediante la providencia de 3 de junio de 2013 se acordó suspender la ejecución de la Sentencia de la Sala de lo Penal del Tribunal Supremo recaída el 28 de noviembre de 2012 en el recurso de casación núm. 913-2012 interpuesto contra la Sentencia de la Sala de lo Civil y Penal del Tribunal Superior de Justicia de Cataluña de 19 de marzo de 2012, que anuló la Sentencia de la Audiencia Provincial de Barcelona recaída el 21 de junio de 2011 en el procedimiento de jurado núm. 20-2011 (en la que se declaró no culpable al recurrente del delito de homicidio de que era acusado, al apreciar la circunstancia eximente completa de legítima defensa), ordenándose la celebración de un nuevo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Reiteradamente hemos entendido que la concurrencia de una urgencia excepcional que autorice a este Tribunal a adoptar medidas cautelares sin oír a las partes y a hacerlo sin consignar motivación —al acordarse en la propia providencia de admisión a trámite del recurso de amparo— obliga a dictar una nueva resolución motivada en la que, tras oír a las partes, se expresen las razones que lleven al Tribunal a mantener, modificar o levantar la medida inicialmente acordada, tal y como venimos haciendo desde el ATC 213/2009, de 9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Habiéndose oído ya a las partes, con el resultado que consta en los antecedentes de esta resolución, debemos recordar que la facultad de este Tribunal Constitucional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en cualquier otro supuesto, son diversos los intereses que en este caso deben ser valorados para determinar la procedencia o no del mantenimiento de la suspensión de las resoluciones contra las que se ha promovido el recurso de amparo. De un lado, este Tribunal viene considerando que cuando el recurso se dirige contra resoluciones judiciales, lo más acorde con el interés general es su cumplimiento, que dota de efectividad a la tutela judicial (art. 24.1 CE) del litigante que obtuvo un pronunciamiento favorable a sus pretensiones. Como contrapeso, nuestro sistema de justicia constitucional configura la posibilidad de que se suspenda la ejecución de las resoluciones judiciales por razón de las cuales se reclame el amparo, cuando se acredite suficientemente la irreparabilidad del perjuicio que pudiera traer consigo la ejecución de la resolución impugnada, privando al amparo de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atención a las circunstancias concurrentes en el presente caso debemos apreciar, como ya hiciéramos en similares ocasiones, dimanantes también de procedimientos de jurado (AATC 103/2001, de 3 de mayo; 170/2001, de 22 de junio; 277/2001, de 29 de octubre; y 311/2001, de 18 de diciembre), que la suspensión se presenta como el medio adecuado para mantener el procedimiento penal en una situación que permita, cuando proceda, dar respuesta con plena eficacia a las diferentes denuncias de conculcación de sus derechos fundamentales formuladas por el recurrente en el proceso constitucional, pues de otro modo la eventual estimación del recurso de amparo quedaría privada de efectividad en la medida en que con el mismo se trata de impedir la repetición del juicio oral del que trae causa este proceso constitucional. En este sentido, la celebración de un nuevo juicio oral devendría en un perjuicio irreparable ya si, finalmente, se apreciara la infracción constitucional denunciada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no se aprecia que la suspensión puede afectar, perturbándolos gravemente, a intereses constitucionalmente protegidos o a derechos fundamentales o libertades públicas de terceras personas.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medida cautelar de suspensión acordada en la presente pieza por la providencia de 3 de junio de 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