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Ricardo Enríquez Sancho en el recurso de amparo núm. 210-2013, quien queda apartado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enero de 2013, el Procurador de los Tribunales don Alejandro González Salinas, en nombre y representación de la asociación de padres de alumnos “Torrevelo”, del colegio homónimo, con la asistencia del Letrado don Valeriano Hernández-Tavera Martín, interpuso demanda de amparo contra las resoluciones de la Consejería de Educación y del Consejo de Gobierno de Cantabria de 14 de abril y 13 de agosto de 2009; contra la Sentencia de 22 de junio de 2011 de la Sección Primera de la Sala de lo Contencioso-Administrativo del Tribunal Superior de Justicia de Cantabria, dictada en el procedimiento ordinario núm. 545-2009; y contra la Sentencia y el Auto dictados el 23 de julio y el 29 de noviembre de 2012, respectivamente, por la Sección Cuarta de la Sala de lo Contencioso-Administrativo del Tribunal Supremo en el recurso de casación núm. 4591-2011.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6 de mayo de 2013, acordó admitir a trámite la demanda; y el Pleno del Tribunal, por providencia de 24 de septiembre de 2013, conforme a lo establecido en el art. 10.1 n) de la Ley Orgánica del Tribunal Constitucional (LOTC), acordó recabar para sí su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23 de abril de 2014, el Magistrado don Ricardo Enríquez Sancho comunicó a los efectos oportunos su propósito de abstenerse de intervenir en el mencionado recurso de amparo, de conformidad con los arts. 219.11 de la Ley Orgánica del Poder Judicial y 80 LOTC, por haber formado parte de la Sección Cuarta de la Sala de lo Contencioso-Administrativo del Tribunal Supremo que resolvió el recurso de casación núm. 4591-2011 mediante la Sentencia de 23 de julio de 2012, que es objeto de impugnación en el presente proceso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Ricardo Enríquez Sancho, Magistrado de este Tribunal, el Pleno, en virtud de lo previsto en el art. 219.11 de la Ley Orgánica del Poder Judicial, supletoria en este punto de la Ley Orgánica del Tribunal Constitucional (art. 80), estima justificada la causa de abstención manifestada, puesto que el mencionado Magistrado formó parte de la Sección Cuarta de la Sala de lo Contencioso-Administrativo del Tribunal Supremo que, resolviendo el recurso de casación núm. 4591-2011, dictó la Sentencia de 23 de julio de 2012 y el posterior Auto de 29 de noviembre de 2012, que son objeto de impugnación en el presente proceso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Ricardo Enríquez Sancho en el recurso de amparo núm. 210-2013, quien queda apartado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