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Ricardo Enríquez Sancho en el recurso de amparo número 4503-2012,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el Auto de la Sala de lo Contencioso-Administrativo del Tribunal Supremo, de 1 de marzo de 2012, por el que se inadmitió el recurso de casación núm. 4824-2011, promovido a su vez contra la Sentencia de 29 de junio de 2011, de la Sección Sexta de la Sala de lo Contencioso-Administrativo de la Audiencia Nacional, recaída en el recurso núm. 578-2010.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4 de noviembre de 2014, el Magistrado don Ricardo Enríquez Sancho comunicó a los efectos oportunos que se abstenía de intervenir en el antes indicado recurso de amparo, de conformidad con el art. 80 de la Ley Orgánica del Tribunal Constitucional, por haber formado parte de la Sección Primera de la Sala Tercera del Tribunal Supremo, que dictó el Auto de 1 de marzo de 2012, resolución impugnada en el presente recurso de amparo número 4503-2012.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Ricardo Enríquez Sancho, Magistrado de esta Sala Segunda del Tribunal Constitucional, la Sala,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Tercera del Tribunal Supremo, que dictó el Auto de 1 de marzo de 2012, en el recurso de casación número núm. 4824-2011, que ha sido impugnado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Ricardo Enríquez Sancho en el recurso de amparo número 4503-2012,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