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doña Adela Asua Batarrita, Presidenta, y don Fernando Valdés Dal-Ré,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2246-2012, promovido por la mercantil Compañía de Distribución Integral Logista S.A., representada por la Procuradora de los Tribunales doña María Teresa Goñi Toledo y asistida por el Abogado don Javier Navarro Martínez, contra el Auto de la Sección Primera de la Sala de lo Contencioso-Administrativo del Tribunal Supremo, de fecha 10 de noviembre de 2011, que resolvió la inadmisión del recurso de casación núm. 3466-2010, interpuesto por la sociedad demandante de amparo, y contra la providencia, de fecha 22 de febrero de 2012, que inadmitió a trámite el incidente de nulidad de actuaciones promovido contra el referido Auto. Ha comparecido el Abogado del Estado, en la representación que ostenta, y ha intervenido el Ministerio Fiscal. Ha sido Ponente el Magistrado don Pedro José González Trevijano-Sánchez,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abril de 2012 tuvo entrada en el Registro General de este Tribunal Constitucional escrito presentado por la Procuradora de los Tribunales doña María Teresa Goñi Toledo, actuando en nombre y representación de la mercantil Compañía de Distribución Integral Logista, S.A., y bajo la dirección letrada del Abogado don Javier Navarro Martínez,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de fecha 13 de mayo de 2008, en virtud de la cual fue desestimado el recurso de alzada interpuesto contra la resolución del Tribunal Económico-Administrativo Regional de Cataluña, de 24 de mayo de 2007, que confirmó el acuerdo dictado por el jefe regional de la dependencia provincial de aduanas e impuestos especiales de Barcelona, en cuya virtud se estableció una deuda de 682.333,31 euros, por los conceptos de arancel, impuesto sobre el valor añadido a la importación e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377-2008, la Sala de lo Contencioso-Administrativo de la Audiencia Nacional (Sección Séptima) dictó, en fecha 8 de marzo de 2010, Sentencia desestimatoria de las pretensiones de la demandante. La referida Sentencia fue notificada a las partes el día 17 de marzo de 2010, con la indicación de que contra la misma cabía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30 de marzo de 2010, la sociedad demandante de amparo interesó que se tuviera por preparado recurso de casación contra la Sentencia antes indicada. En dicho escrito puso de manifiesto la intención de interponer recurso de casación, justificó la legitimación que ostenta y, a su vez, advirtió del cumplimiento del plazo para la presentación del escrito, del carácter recurrible de la resolución impugnada y de la suficiencia de la cuantía del recurso para el acceso a la casación. A ello, añadió la precisión de que el recurso iba a fundarse en los motivos previstos en los arts. 88.1 c) y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fecha 9 de abril de 2010, notificada a la sociedad demandante el día 19 del citado mes y año, la Sala de lo Contencioso-Administrativo de la Audiencia Nacional tuvo por preparado el recurso de casación. Asimismo, dicho órgano acordó emplazar a la demandante para que compareciera ante la Sala Tercera del Tribunal Supremo. Una vez recibidas las actuaciones por el órgano ad quem, el día 31 de mayo de 2010 la actora interpuso el recurso de casación ante la Sala Tercera del Tribunal Supremo. Por providencia de fecha 28 de septiembre de 2010 la referida Sala tuvo por interpuesto el recurso de casación, el cual fue registrado con el número 3466-2010.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3 de noviembre de 2010 la referida Sala dictó providencia, en cuya virtud dio traslado para alegaciones de las partes, por plazo común de diez días, para que alegasen sobre la posible concurrencia de la causa de inadmisión consistente en “estar exceptuada del recurso de casación la Sentencia impugnada por haber recaído en un asunto cuya cuantía no excede de 150.000 euros, pues aunque en la instancia quedó fijada en la cantidad de 682.333,31 euros, habiéndose producido en vía administrativa una acumulación de pretensiones, únicamente la liquidación en concepto de derechos arancelarios excede de 150.000 euros (arts. 86.2 b y 41.3 de la LRJCA)”. En fecha 15 de noviembre de 2010, la sociedad recurrente cumplimentó el traslado conferido, mediante escrito en el que interesó la admisión íntegra del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17 de mayo de 2011, la sociedad demandante de amparo presentó escrito ante la Sala de lo Contencioso-Administrativo de la Audiencia Nacional, en el que manifestó haber tenido conocimiento del Auto dictado por la Sala de lo Contencioso-Administrativo del Tribunal Supremo (en adelante, ATS) 2927/2010, de 10 de febrero de 2011, en virtud del cual modificaba su doctrina relativa a los requisitos exigibles para la preparación del recurso de casación contra sentencias dictadas por la Audiencia Nacional. Por ello, en orden a adecuar el escrito de preparación del recurso de casación a las exigencias establecidas por el la Sala Tercera del Tribunal Supremo, procedió a indicar las concretas infracciones normativas o jurisprudenciales cometidas por la Sentencia impugnada, a fin de que, para el caso de que el Tribunal Supremo resolviera la aplicación de la nueva doctrina a los recursos preparados con anterioridad a hacerse público el referido Auto del Tribunal Supremo, se considerara adecuado el escrito de preparación a las exigencias actuales, a cuyo efecto solicitó a la referida Sala que tuviera preparado el recurso de casación contra la Sentencia recaída en la instancia y, previos los trámites legales que procedan, remitiese el presente escrito a la Sala Tercera del Tribunal Supremo para su unión al recurso de casación núm. 3466-2010.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7 de junio de 2011, la Sala Tercera (Sección Primera) del Tribunal Supremo tuvo por recibido un oficio de la Audiencia Nacional, en el que se acompañó el escrito de adecuación de la preparación del recurso de casación presentado por la sociedad demandante de amparo,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11 de mayo de 2011, la Sala Tercera del Tribunal Supremo dio de nuevo plazo a las partes, a fin que formularan alegaciones sobre la posible concurrencia de la causa de inadmisión consistente en no haber citado en el escrito de preparación las infracciones normativas o jurisprudenciales que iban a desarrollarse en el escrito de interposición [arts. 88.1, 89.1 y 93.2 a) LJCA]. Dicha resolución fue notificada a la sociedad demandante el día 17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24 de mayo de 2011 la sociedad demandante evacuó el traslado conferido. En síntesis, la referida entidad solicitó la aplicación al caso de la doctrina mantenida en la STS de 30 de marzo de 2011, dictada por la Sección Segunda de la Sala Tercera del Tribunal Supremo en el recurso de casación 3143-2006, en cuya virtud fue admitido un recurso de casación preparado contra una sentencia dictada por la Audiencia Nacional, sin que en el escrito de preparación se hubieran citado las concretas normas o doctrina jurisprudencial que se reputaban infringidas. Asimismo, puso de relieve que los posibles defectos del escrito de preparación habían sido subsanados a través del escrito de adecuación de fecha 17 de mayo de 2011. Por todo ello, solicitó que se acordara la admisión total del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10 de noviembre de 2011, la Sala Tercera del Tribunal Supremo (Sección Primera) acordó la inadmisión del recurso de casación. La Sala se remitió a la doctrina establecida en el Auto del Tribunal Supremo de 10 de febrero de 2011, del que transcribió varios de sus fundamentos, y concluyó que no habiéndose citado, en el escrito de preparación del recurso formalizado por la sociedad recurrente, las infracciones normativas o jurisprudenciales que iban a desarrollarse en el escrito de interposición, procedía la inadmisión del recurso de casación, lo que hacía innecesario pronunciarse sobre la causa de inadmisión parcial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Sala considera de aplicación lo que la doctrina constitucional ha calificado como “mínimo efecto retroactivo”, de manera que el nuevo criterio jurisprudencial establecido resulta extensible a todo supuesto o situación jurídica que tenga ante sí para resolver, con independencia del momento temporal en que se interpuso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también rechaza la eficacia de la subsanación intentada por la sociedad demandante, a través de un escrito posterior al trámite de preparación, al entender que el incumplimiento de la carga establecida en el art. 89.1 de la Ley jurisdiccional acarrea un vicio de carácter sustancial, y no un simple defecto de forma, amén de que los requisitos que configuran los presupuestos procesales deben ser cumplidos, de manera indeclinable, en tiempo y forma. Por todo ello, entendió que el defecto procesal apreciado es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3 de enero de 2012, la sociedad demandante de amparo promovió incidente de nulidad de actuaciones en el que, con una extensa argumentación, alegó la vulneración del derecho a la igualdad en la aplicación judicial de la Ley (art. 14 CE) y del derecho a la tutela judicial efectiva en su vertiente de acceso a los recursos (art. 24.1 CE), en relación con el principio de seguridad jurídica contenido en el art. 9.1 CE. Denunció, en resumen, que el Tribunal Supremo había introducido una modificación sustancial respecto de los requisitos del escrito de preparación del recurso de casación contra Sentencias dictadas por la Audiencia Nacional que, además de inesperado, resulta sorprendente, arbitrario e infundado. Dicho cambio de criterio impone el cumplimiento de unos requisitos no contemplados en la Ley y, además, se aplica a escritos de preparación presentados con anterioridad a la adopción del nuevo criterio. Asimismo, afirma que la resolución impugnada contraviene la doctrina del Tribunal Constitucional en materia de subsanación de defectos procesales, con la consiguiente indefensión que se provoca a la parte recurrente. Finalmente, destaca la falta de vocación de permanencia de la modificación jurisprudencial, lo que comporta una vulneración del derecho a la igualdad en la aplicación judicial de la Ley, puesto que con posterioridad al Auto del Tribunal Supremo de 10 de febrero de 2011 se han dictado resoluciones en las que se retoma el criterio precedente, en cuya virtud no resulta exigible la indicación expresa, en el escrito de preparación del recurso de casación, de las normas o doctrina jurisprudencial infringida.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providencia de 22 de febrero de 2012 fue inadmitido a trámite el incidente de nulidad de actuaciones promovido contra el Auto de 10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contiene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10 de noviembre de 2011 ha lesionado el derecho a la tutela judicial efectiva (art. 24.1 CE), en su vertiente de acceso a los recursos, porque se funda en el requisito de anticipar en el escrito de preparación del recurso de casación los concretos preceptos o la jurisprudencia que se reputan infringidos, el cual carece de cobertura en la Ley reguladora de la jurisdicción contencioso-administrativa. Esta Ley —subraya— solo lo exige en el supuesto concreto del art. 89.2 LJCA para resoluciones dictadas por los Tribunales Superiores de Justicia. La recurrente no atribuye la infracción al mero cambio de criterio del Tribunal Supremo iniciado a partir del ATS 2927/2010, de 10 de febrero de 2011, sobre el que se articula el Auto del Tribunal Supremo de 10 de noviembre de 2011, que inadmite el recurso de casación interpuesto por la actora, pues también advierte que dicho cambio es arbitrario, en tanto que impone, ex novo y con carácter retroactivo, un requisito no exigido en la Ley reguladora de la jurisdicción contencioso-administrativa ni en la jurisprudencia anterior, que había quedado fijada en los AATS 573/2010, de 14 de octubre, y 3461/2010, de 18 de noviembre,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del Tribunal Supremo de 10 de noviembre de 2011 ha vulnerado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A su vez, también advierte que, una vez tuvo conocimiento del cambio de criterio jurisprudencial, presentó un escrito de adecuación conforme a los nuevos requisitos fijados, el cual no fue tenido en cuenta para considerar subsanado el primigenio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también, en relación con esta infracción alegada, la vulneración de los principios de seguridad jurídica (art. 9.3 CE), buena fe y confianza legítima que, a la postre, han producido una efectiva indefensión a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del Tribunal Supremo de 10 de noviembre de 2011 ha conculcado su derecho a la igualdad en la aplicación judicial de la Ley (art. 14 CE), pues, según manifiesta la demandante, el cambio de criterio efectuado por la Sala Tercera del Tribunal Supremo no tiene vocación de permanencia, pues con posterioridad al Auto del Tribunal Supremo de 10 de febrero de 2011 se han dictado Sentencias y Autos contrarios a la jurisprudencia contenida en dicha resolución; entre otros, los AATS, de 17 de febrero de 2011 (recurso número 4600-2010), de 24 de febrero de 2011 (recurso número 3793-2010), de 17 de marzo de 2011 (recurso número 6250-2010), y 8516/2011, de 16 de junio (recurso número 5151-2010).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por último que, atendidas las circunstancias concurrentes, debió tomarse en consideración el escrito de adecuación a la nueva exigencia presentado por la parte al objeto de evitar una situación de indefensión que, en el curso de la tramitación de su recurso, ha cumplido escrupulosamente las normas y la jurisprudencia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18 de septiembre de 2013, el Magistrado de este Tribunal don Juan José González Rivas solicitó se le tuviera por abstenido en el presente recurso, dada la concurrencia de la causa de abstención prevista en el art. 219.11 de la Ley Orgánica del Poder Judicial (LOPJ), de aplicación supletoria conforme a lo establecido en el art. 80 de la Ley Orgánica del Tribunal Constitucional (LOTC), habida cuenta de que formó parte de la Sección Primera de la Sala Tercera del Tribunal Supremo, órgano este que dictó el Auto de inadmisión de 10 de noviembre de 2011, del que trae causa el presente recurso de amparo. Por Auto de fecha 19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número 3466-2010 y al recurso número 377-2008,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24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7 de enero de 2014, se tuvo por personado y parte al Abogado del Estado, en representación de la Administración del Estado. Y,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31 de enero de 2014, la sociedad demandante formuló sus alegaciones. En esencia, dicha entidad se remite a lo ya manifestado en el escrito de demanda, reiterando las pretensiones ya interesadas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6 de febrero de 2014. En síntesis, considera que, a la luz de la doctrina constitucional, el Auto de inadmisón combatido en amparo vulnera el derecho al acceso a los recursos que garantiza el art. 24.1 CE. Para el Abogado del Estado el auténtico problema constitucional que la demanda suscita radica en la aplicación retrospectiva o retroactiva de las nuevas máximas jurisprudenciales plasmadas en el Auto del Tribunal Supremo de 10 de febrero de 2011, que no existían cuando se presentó el escrito de preparación del recurso de casación. En el presente caso, la inadmisión del recurso de casación se sustenta, precisamente, en que no se preparó conforme a las referidas máximas; ello supone imponer retroactivamente un novedoso régimen procesal desfavorable a la realización de un acto procesal totalmente concluido, lo cual vulnera lo dispuesto en el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 fundadas en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27 de febrero de 2014. En primer lugar, compendia los hechos más relevantes que atañen al presente recurso. En segundo término, sintetiza la doctrina del Tribunal Constitucional sobre el acceso a los recursos y la evolución de la jurisprudencia del Tribunal Supremo sobre los requisitos que debe reunir el escrito de preparación del recurso de casación contencioso-administrativo. Finalmente, a la vista de las alegaciones formuladas en la demanda de amparo concluye que se ha vulnerado el derecho a la igualdad en la aplicación judicial de la Ley (art. 14 CE). Por el contrario, considera que las resoluciones combatidas en amparo no lesionan el derecho a la tutela judicial efectiva sin indefensión (art. 24.1 CE), dado que la exigencia de indicar, en el escrito de preparación del recurso de casación, las concretas infracciones legales o de la doctrina jurisprudencial deriva del propio tenor de los apartados c) y d) del art. 88.1 LJCA, de manera que cabría afirmar que no es la jurisprudencia la que impone tal requisito, sino la propia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en torno a la lesión del art. 14 CE se desarrolla, en síntesis,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preparó el recurso de casación conforme a las pautas fijadas en el ATS 15895/2010, de 18 de noviembre, recaído en el recurso de casación número 3461-2010, que pretendió aclarar la jurisprudencia relativa a los requisitos exigibles al escrito de preparación del recurso de casación, concretamente en su fundamento jurídico 6. Ahora bien, la doctrina establecida por el Auto anteriormente citado fue de nuevo matizada por la Sección Primera de la Sala de lo Contencioso-Administrativo del Tribunal Supremo mediante el ATS 2371/2011, de 10 de febrero, recaído en el recurso de casación número 2927-2010, el cual, en su fundamento jurídico 4, estatuyó la necesidad de la indicación de los concretos preceptos o jurisprudencia que se reputan infringidos o del contenido de las infracciones normativas o jurisprudenciales que se pretendan denunciar y desarrollar en el escrito de interposición del recurso de casación, aunque fuere de forma sucinta, añadiendo que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 88.1 LJCA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mientras el ATS 15895/2010, de 18 de noviembre, dijo que era “carga del recurrente en casación indicar ya en la fase de preparación el concreto o concretos motivos en que se fundará el recurso y no en cualesquiera otras razones no contempladas en la Ley Jurisdiccional”, el ATS 2371/2011, de 10 de febrero, dejó sentado que era “carga del recurrente en casación indicar ya en la fase de preparación el concreto o concretos motivos en que se fundará el recurso y no en cualesquiera otras razones no contempladas en la Ley Jurisdiccional,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exigencia del ATS 2371/2011, de 10 de febrero, relativa a la obligatoriedad de indicar ya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no ha sido seguido de modo unánime por la Sección Primera de la Sala Tercera del Tribunal Supremo. A tales fines, la parte recurrente ha mencionado Autos y Sentencias que con posterioridad a ese Auto de 10 de febrero de 2011 han mantenido la posición “histórica” de la Sala Tercera del Tribunal Supremo en relación con los requisitos predicables para la válida formulación del escrito de preparación del recurso de casación, como son los AATS 1932/2011, de 17 de febrero  (recurso número 4600-2010), 4046/2011, de 24 de marzo (recurso número 3896-2010), 3673/2011, de 17 de marzo (recurso número 1585-2010), 3667/2011, de 17 de marzo (recurso número 6250-2010), y 8516/2011, de 16 de junio (recurso número 5151-2010) y las SSTS de 30 de marzo de 2011 (recurso número 3143-2006) y 5 de abril de 2011 (recurso número 2520-2009).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sociedad demandante de amparo ha aportado un válido término de comparación, pues oportunamente cita los AATS 1932/2011, de 17 de febrero (recurso número 4600-2010), 3667/2011, de 17 de marzo (recurso número 6250-2010), y 8516/2011, de 16 de junio (recurso número 5151-2010), todos ellos dictados por la Sección Primera, en relación con recursos de casación entablados contra Sentencias dictadas por la Sala de lo Contencioso-Administrativo de la Audiencia Nacional, en ninguno de los cuales se exige la indicación, en el escrito de preparación del recurso de casación, de los concretos preceptos o jurisprudencia que se reputan infringidos o el contenido de las infracciones normativas o jurisprudenciales que se pretendan denunciar y desarrollar en el escrito de interposición del recurso de casación. Este dato permite constatar la efectiva y necesaria identidad entre los supuestos de hecho que constituyen la base de cada una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suma, que en la presente hipótesis el Auto ahora impugnado —el Auto dictado por la Sección Primera de la Sala de lo Contencioso-Administrativo del Tribunal Supremo en el recurso de casación número 3466-2010 con fecha 10 de noviembre de 2011— no contiene referencia suficiente a la circunstancia de que esa misma Sección hubiera dictado previamente —vigente ya la doctrina fijada por el ATC 2371-2011, de 10 de febrero— al menos otros cuatro Autos en sentido diferente al de aquél, como tampoco contiene el Auto aquí impugnado una justificación explícita del cambio de criterio producido entre los casos que ahora trae a colación la parte recurrente en amparo y el Auto del que ahora se trata, lo cual parece en todo caso inexcusable.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sentado lo anterior, carece de dificultad apreciar en el presente caso la existencia de todos y cada uno de los requisitos establecidos por la antes mencionada doctrina de ese Tribunal Constitucional para que pueda entenderse vulnerado el derecho a la igualdad en la aplicación judicial de la Ley (art. 14 CE), pues (i) la parte demandante de amparo ha acreditado el tertium comparationis exigido al haber señalado en su demanda hasta cuatro Autos de la Sección Primera de la Sala de lo Contencioso-Administrativo del Tribunal Supremo recaídos en casos análogos al que es objeto del presente recurso de amparo, pero con resolución diferente de la recaída en su caso concreto; (ii) existe la identidad de órgano judicial, habida cuenta de que tanto el Auto impugnado como los Autos de contraste han sido dictados por la Sección Primera de la Sala de lo Contencioso-Administrativo del Tribunal Supremo; (iii) existe alteridad en los supuestos contrastados, pues ninguno de los casos de contraste aportados se refieren a la demandante; y (iv) es de apreciar la ausencia de toda motivación que justifique en términos generalizables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que se dicte Sentencia por la que se declare que el Auto dictado por la Sección Primera de la Sala de lo Contencioso-Administrativo del Tribunal Supremo en el recurso de casación número 3466-2010 con fecha 10 de noviembre de 2011 vulneró el derecho de la sociedad Compañía de Distribución Integral Logista, S.A., a la igualdad en la aplicación de la ley (art. 14 CE), con la consecuencia necesaria de la anulación de dicha resolución, así como de la providencia dictada por la Sección Primera de la Sala de lo Contencioso-Administrativo del Tribunal Supremo en el recurso de casación número 3466-2010, de fecha 22 de febrero de 2012, por la que se inadmitió el incidente de nulidad de actuaciones entablado contra aquel Auto, para que sea dictada, en su lugar, otra resolución que se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4 de noviembre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10 de noviembre de 2011,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6 de noviembre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febrero de 2015 se señaló para deliberación y fallo de la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 Por tanto, con remisión a lo expuesto en esa Sentencia, debe desestimarse la lesión aducida del derecho a la tutela judicial efectiva (art. 24.1 CE) por falta de cobertura legal de la causa de inadmisión apreciada, ya que, tal como se argumentó extensamente en su fundamento jurídico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lesión aducida del derecho a la igualdad en la aplicación de la ley. En el fundamento jurídico 4 de la Sentencia citada, ya se puso de manifiesto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falta de cumplimiento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Compañía de Distribución Integral Logista,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10 de noviembre de 2011 y de la providencia de 22 de febrero de 2012, dictados en el recurso de casación núm. 3466-2010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la Magistrada doña Adela Asua Batarrita y el Magistrado don Fernando Valdés Dal-Ré a la Sentencia dictada en el recurso de amparo núm. 2246-2012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 la Sala, manifestamos nuestra discrepancia con la desestimación de la vulneración del art. 24.1 CE relativa a la falta de cobertura legal de la causa de inadmisión impugnada, y con la desestimación de la lesión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que nos conducen a tal conclusión fueron expuestos con detalle en el Voto particular formulado por el Magistrado don Juan Antonio Xiol Ríos a la STC 7/2015, de 22 de enero, dictada en el recurso de amparo avocado al Pleno núm. 2399-2012, al que entonces nos adherimos, y al que ahora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