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3819-2012, promovido por don José Antonio Joan Bagué, representado por el Procurador de los Tribunales don Luis Fernando Granados Bravo y asistido por la Abogada doña Esther Zamarriego Santiago, contra el Auto de la Sección Primera de la Sala de lo Contencioso-administrativo del Tribunal Supremo de 2 de febrero de 2012, que declaró la inadmisión del recurso de casación núm. 2989/2011, y contra la providencia de 7 de mayo de 2012 que inadmitió el incidente de nulidad de actuaciones promovido contra aquél. Ha comparecido y formulado alegaciones el Abogado del Estado, en la representación que ostenta, y ha intervenido el Ministerio Fiscal.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 2012 tuvo entrada en el Registro General de este Tribunal, escrito presentado por el Procurador de los Tribunales don Luis Fernando Granados Bravo, actuando en nombre y representación de don José Antonio Joan Bagué, y bajo la dirección letrada de la Abogada doña Esther Zamarriego Santiago,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lo que a este recurso de amparo interesa,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mediante escrito registrado el 8 de marzo de 2011, preparó recurso de casación frente al Auto dictado por la Sala de lo Contencioso-Administrativo de la Audiencia Nacional (Sección Séptima) de fecha 21 de diciembre de 2010, confirmado por otro de 14 de febrero de 2011, aclarado éste último por Auto de 16 de marzo de 2011, dictados en la pieza separada de suspensión del recurso núm. 612-2010, sobre declaración de responsabilidad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escrito, el recurrente puso de manifiesto la intención de interponer recurso de casación, la legitimación de la parte recurrente, el cumplimiento del plazo para la presentación del escrito y el carácter recurrible de la resolución impugnada. A ello añadió la precisión de que el recurso iba a fundarse en los motivos previstos en los apartados c) y d) del art. 88.1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fue tenido por preparado por Auto de la Sala de lo Contencioso-Administrativo de la Audiencia Nacional de 18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junio de 2011, el demandante de amparo formuló recurso de casación ante el Tribunal Supremo que fue registrado con el núm. 2989-2011. Por diligencia de ordenación de 6 de julio de 2011 se tuvo por presentado el escrito interponiendo recurso de casación y como parte recurrente al hoy demandante de amparo. Asimismo, tras nombrar ponente y remitirse a él las actuaciones para que se instruya y someta a la deliberación de la Sala lo que haya de resolverse sobre la admisibilidad o inadmisibilidad del recurso de casación, se tuvo por personado y parte al Abogado del Estado en concepto de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19 de septiembre de 2011 se dictó providencia por la que Sala Tercera del Tribunal Supremo puso de manifiesto para alegaciones la posible concurrencia de la causa de inadmisión consistente en: “No haberse hecho indicación en el escrito de preparación del recurso de las correspondientes infracciones normativas o jurisprudenciales que se desarrollarán en el escrito de interposición [artículos 88.1, 89.1 y 93.2 a) LJCA]”. En cumplimiento de dicho trámite, el Abogado del Estado, en escrito registrado el 27 de septiembre de 2011, manifiesta “no tener nada que alegar, estando al criterio de la Sala sobre el concreto particular”. Por su parte, el 4 de octubre de 2011, el demandante de amparo formalizó escrito en el que defiende la procedencia de la 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misma fecha de 4 de octubre de 2011, el demandante de amparo presentó escrito ante la Sala de lo Contencioso-Administrativo de la Audiencia Nacional en el que ponía de manifiesto que habiendo tenido conocimiento del Auto dictado por la Sala de lo Contencioso-Administrativo del Tribunal Supremo de 10 de febrero de 2011 (recurso núm. 2927-2010), por el que se modificaba su doctrina relativa a los requisitos exigibles para la preparación del recurso de casación formulado contra sentencias y autos dictados por la Audiencia Nacional, procedía a “adecuar el escrito de preparación a la nueva doctrina mantenida por el Tribunal Supremo en la materia citada”, con la advertencia de que “[d]icha adecuación se realiza, obviamente, para el caso de que dicha doctrina sea mantenida y reiterada por el Alto Tribunal … y considere que la misma resulta de aplicación incluso a los recursos de casación que hayan sido preparados con anterioridad a hacerse público el mencionado Auto”. Termina solicitando que se tuviera por adecuado el escrito de preparación del recurso de casación formulado y, previos los trámites legales que procedan, se remitiese al Tribunal Supremo para su unión al recurso de casación núm. 008-0002989-2011 interpuesto frente a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la Sala de lo Contencioso-Administrativo de la Audiencia Nacional de 10 de octubre de 2011, se tuvieron por hechas las manifestaciones contenidas en el “escrito de adecuación de recurso de casación” y se ordena su remisión a la Sala Tercera del Tribunal Supremo; lo que se efectuó mediante oficio dictado en la misma fecha. Por su parte, mediante diligencia de ordenación de Sala Tercera del Tribunal Supremo de 27 de octubre 2011, se tuvo por cumplimentado el trámite de alegaciones, así como por recibidos el oficio y el escrito de adecuación del recurso de casación presentado por el recurrente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 de febrero de 2012, la Sala Tercera del Tribunal Supremo (Sección Primera) declaró la inadmisión del recurso de casación. La Sala se remitió a los AATS de 10 de febrero, 12 de mayo y 16 de junio, todos de 2011, para terminar concluyendo que el recurso es inadmisible por estar defectuosamente preparado al no haber sido anunciados en el escrito de preparación los motivos del art. 88.1 LJCA con las exigencias que en los citados Autos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alcanzar dicha conclusión y considerar que con lo expuesto se ha dado cumplida respuesta a las alegaciones del recurrente, entiende, no obstante, que conviene reiterar “que la doctrina relativa a las exigencias predicables del escrito de preparación del recurso de casación, en lo que atañe a la cita de las infracciones normativas o jurisprudenciales que se pretendan denunciar y desarrollar en el escrito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 En consecuencia, la Sala sostiene, después de hacer referencia a varias Sentencias de este Tribunal, la posibilidad de inadmitir un recurso de casación por un criterio interpretativo posterior al momento de presentación del escrito de preparación del recurso, acogiéndose al “mínimo efecto retroactivo”. Entiende, en síntesis, que “[e]n caso contrario, quedaría petrificada la nueva interpretación jurisprudencial a aquellos escritos de interposición de recursos que fueron presentados debidamente ante los Tribunales de Justicia a partir del momento del ‘anuncio’ del cambio de criterio, ‘anuncio’ a que no están obligados los órganos jurisdiccionales, tal y como tiene asentada la doctrina constitucional referida”. Asimismo, considera que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y que “[e]l único límite temporal al que se limitan los cambios de criterio jurisprudenciales, de conformidad con la doctrina del Tribunal Constitucional, es a las situaciones jurídicas que gozan de la protección de cosa juzgada”. Añade a lo dicho que “es doctrina reiterada de esta Sala, que la inobservancia de lo preceptuado en el artículo 89.1 LJCA no puede entenderse como un mero efecto subsanable, tal y como pretende la parte recurrente, ya que no se trata de un defecto formal, pues afecta a la sustancia misma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23 de marzo de 2012, el ahora demandante de amparo presentó escrito promoviendo incidente de nulidad de actuaciones en el que, con una muy extensa argumentación, alegó la vulneración de los arts. 14 y 24 CE. En el escrito se alegaba, en resumen, que el Tribunal Supremo había modificado de manera arbitraria y sin motivación, su jurisprudencia sobre los requisitos del escrito de preparación del recurso de casación formulados contra sentencias y autos dictados por la Audiencia Nacional, exigiendo uno no contemplado en la ley y aplicándolo a escritos presentados con anterioridad a la adopción del nuevo criterio con vulneración de la doctrina del Tribunal Constitucional en materia de subsanación de defectos procesales. Aduce también, en relación con la vulneración del art. 14 CE, que con posterioridad al ATS de 10 de febrero de 2011, la misma Sección de la Sala dictó autos contrarios a esta nueva jurisprudencia, retomando el criterio anterior que exigía sólo la mención de los motivos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7 de mayo de 2012 fue inadmitido a trámite el incidente de nulidad de actuaciones promovido contra el Auto anterior. La Sala aprecia que las alegaciones de la parte recurrente “lo que ponen de manifiesto es una discrepancia con la declaración de inadmisión del recurso de casación y con los razonamientos jurídicos que fundan dicho pronunciamiento, utilizando el incidente de nulidad actuaciones como si de un recurso de súplica se tratara, intentando soslayar el obstáculo del art. 93.6 LJCA”. A lo dicho añade que “la invocación del principio constitucional alegado no pueden servir de excusa para soslayar la aplicación de la ley, en este caso, la que establece las reglas para la correcta preparación del recurso de casación”. Por último, señala que la inadmisión del recurso de casación no lesiona el derecho de acceso a los recursos (art. 24.1 CE), pues debe tenerse presente que “no se quebranta dicho derecho porque un proceso contencioso-administrativo quede resuelto en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basa su recurso de amparo en la vulneración de sus derechos a la igualdad en la aplicación de la ley (art. 14 CE) y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recurrente parte de que la exigencia de la anticipación al trámite de preparación de la cita de los concretos preceptos o la jurisprudencia que se reputan infringidos carece de cobertura legal en la Ley reguladora de la jurisdicción contencioso-administrativa, pues dicho requisito solo se exige en el supuesto concreto del art. 89.2 LJCA, relativo a la impugnación de las resoluciones dictadas por los Tribunales Superiores de Justicia. De acuerdo con los arts. 89.1 y 92.1 LJCA, cuando las resoluciones recurridas proceden de la Audiencia Nacional, la cita de las normas y la jurisprudencia infringidas se debe producir en el escrito de interposición del recurso. Defiende, por ello, que el ATS de 2 de febrero 2012, objeto del presente recurso amparo, no sólo ha inadmitido el recurso de casación en aplicación de un requisito no contemplado en la ley, sino que dicho requisito ha sido aplicado de forma sorpresiva e inesperada como consecuencia del cambio jurisprudencial acaecido con el ATS de 10 de febrero 2011, que considera arbitrario y no motivado. Añade, además, que el citado Auto no es aplicable a su caso porque resolvió sobre la admisibilidad de un recurso de casación preparado frente a una sentencia de la Audiencia Nacional y no frente a un auto como ahora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en síntesis, que “habiendo preparado un recurso de casación cumpliendo escrupulosamente con la Ley y, especialmente, con la Jurisprudencia que la interpretaba en aquel momento, ha visto, sin embargo, inadmitido su recurso interpuesto frente a Autos de la Audiencia Nacional por la aplicación de un cambio jurisprudencial posterior, carente de cualquier fundamento legal, no justificado y que, aplicado con carácter retroactivo, ha hecho que, sin género de duda … se haya vulnerado de manera flagrante su derecho a la tutela judicial efectiva en su vertiente de acceso a los recursos (artículo 24 CE), así como su derecho a la igualdad, en su vertiente de igualdad en la aplicación judicial de la Ley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son extensamente desarrolladas en la demanda de amparo con amplia cita jurisprudencial tanto del Tribunal Constitucional como del Tribunal Supremo. Respecto de la alegada vulneración del derecho a la igualdad en la aplicación de la ley (art. 14 CE), el demandante de amparo argumenta que el cambio jurisprudencial que lleva a cabo el Auto impugnado supone una flagrante vulneración del citado derecho, pues se presenta como: irrazonado o arbitrario, por no haber justificado los motivos jurídicos que amparan el cambio de criterio; irrazonable, especialmente teniendo en cuenta que se pretende su aplicación con efectos ex tunc; y sin vocación de permanencia, en la medida en que existen autos y sentencias posteriores al ATS de 10 de febrero 2011 en los que no se ha exigido por parte de la Sala Tercera del Tribunal Supremo (Sección Primera), el referido requisito de concretar en el escrito de preparación del recurso de casación interpuesto contra sentencias de la Audiencia Nacional, la norma o jurisprudencia que se considera infringida. Además, defiende que concurren las exigencias constitucionales precisas para fundamentar que se ha producido una efectiva vulneración del derecho de igualdad en aplicación de la ley (art. 14 CE), en cuanto se acredita un tertium comparationis válido (identidad del órgano judicial que dicta la resolución, identidad fáctica del supuesto a resolver, alteridad y ausencia de motivación para operar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la vulneración del derecho a la tutela judicial efectiva (art. 24.1 CE), en su vertiente de acceso al recurso, el recurrente considera que la decisión adoptada por la Sección Primera de la Sala Tercera, carece de cualquier cobertura legal dado que no se contiene ni se deduce de la Ley reguladora de la jurisdicción contencioso-administrativa; antes bien, resulta abiertamente contraria a la misma e, incluso, a la jurisprudencia del Tribunal Supremo relativa a los requisitos predicables de los escritos de preparación de recursos de casación, así como a la delimitación del concepto “requisitos de forma” realizada por el Tribunal Constitucional. Añade que la vulneración se produce, igualmente, por la aplicación retroactiva de un nuevo criterio jurisprudencial y por la indefensión que provoca tanto la falta de ofrecimiento para remediarlo como la decisión de no acceder a la subsanación de los defectos de que pudiera adolecer el escrito de preparación en el plazo concedido al efecto, en tanto que se le están exigiendo requisitos que no estaban en vigor al tiempo de presentarse el escrito de preparación, que no están recogidos en la ley y, además, que no habían sido identificados como tales requisitos por la Jurisprudencia del Tribunal Supremo en su consolidada doctrina configuraba a lo largo de más de doce años. A su juicio, la Sala Tercera debió tener en consideración su diligente proceder que demostró al aportar, tras el conocimiento del ATS de 10 de febrero de 2011, el escrito de adecuación a las nuevas exigencias previstas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2013, la Sala Primera del Tribunal Constitucional, de conformidad con lo dispuesto en el art. 11.2 de la Ley Orgánica del Tribunal Constitucional (LOTC), acuerda conocer del presente recurso de amparo y admitir a trámite la demanda presentada. Asimismo, en aplicación de lo dispuesto en el art. 51 LOTC, acordó dirigir atenta comunicación a la Sección Primera de la Sala de lo Contencioso-Administrativo del Tribunal Supremo y a la Sección Séptima de la Sala de lo Contencioso-Administrativo de la Audiencia Nacional a fin de que, en el plazo de diez días, remitieran certificación o fotocopia adverada de las actuaciones correspondientes a los recursos núms. 2989-2011 y 612-2010,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julio de 2013, el Abogado del Estado presentó escrito ante este Tribunal suplicando que, con la admisión del mismo, en la representación que ostenta, se le tenga por personado y parte en el presente recurso de amparo, señalando que se entiendan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de 22 de julio 2013, se tuvieron por recibidos los testimonios de las actuaciones remitidos por la Sala Tercera del Tribunal Supremo y por la Sección Séptima de la Sala de lo Contencioso-Administrativo de la Audiencia Nacional, y el escrito del Abogado del Estado a quien se tuvo por personado y parte en representación de la Administración pública. Y,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6 de agosto de 2013, el demandante de amparo presentó escrito de alegaciones remitiéndose al escrito de demanda de amparo que dio inicio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19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inadmisión del recurso de casación contencioso-administrativo por defectos insubsanables del escrito de preparación, procede al análisis del art. 89.1 LJCA y, en especial, el contenido de la expresión “los requisitos de forma exigidos”. Estima, al respecto, que si bien desde el plano de la legalidad es muy discutible la nueva exigencia jurisprudencial contenida en el ATS de 10 de febrero de 2011, la misma no puede calificarse ni de arbitraria ni irrazonable. Dicho esto, advierte de que el auténtico problema constitucional que la demanda suscita, y en el que la parte tiene razón, radica en la “aplicación retrospectiva de las nuevas máximas jurisprudenciales” del citado Auto no conocidas al tiempo de preparación del recurso de casación. Argumenta que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lo cual provoca, no una violación del principio de seguridad jurídica (art. 9.3 CE), que no resulta protegido por el recurso de amparo, sino “una aplicación irrazonable, por contraria a la confianza legítima, de las nuevas máximas jurisprudenciales determinantes de la admisión o inadmisión del recurso de casación, que por ello se traduce en una violación del derecho de acceso al recurso”. Añade, que “[l]a razonabilidad se extiende no sólo la interpretación que se hace de la norma, sino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Abogado del Estado muestra su interés en que se dicte una sentencia estimatoria cuya doctrina constitucional sea que “el derecho fundamental de acceso al recurso garantiza a los justiciables que las nuevas máximas jurisprudenciales que imponen más severos requisitos de forma al escrito de preparación del recurso de casación —cuyo incumplimiento puede determinar la inadmisión del recurso— no se aplicarán irrazonablemente contrariando las exigencias mínimas de la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4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el Fiscal inicia su argumentación haciendo referencia a las vulneraciones aducidas por el recurrente y trayendo a colación la jurisprudencia elaborada por el Tribunal Constitucional sobre las mismas. Considera que procede comenzar por el motivo de amparo relativo a la vulneración del derecho a la igualdad en la aplicación de la ley (art. 14 CE), pues de prosperar, carecería de sentido efectuar una consideración autónoma sobre la infracción del derecho a la tutela judicial efectiva (art. 24.1 CE), en la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realiza, en primer lugar, una “recapitulación fáctica” de la jurisprudencia del Tribunal Supremo relativa a los requisitos exigibles al escrito de preparación del recurso de casación, que inicia con el ATS 14419/2010, de 14 de octubre (recurso núm. 951-2010). Finalizada ésta, procede al examen de la alegada vulneración del art. 14 CE y señala, una vez afirmado que es evidente la existencia de un cambio de criterio en la Sección Primera de la Sala de lo Contencioso-Administrativo del Tribunal Supremo, que el problema radica en que la exigencia del ATS de 10 de febrero de 2011, relativa a la obligatoriedad de indicar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cuando se interponen recursos de casación frente a resoluciones dictadas por la Audiencia Nacional, no ha sido seguida de modo unánime por ésta. Lo que, a su juicio, pone en duda que la solución concretada en el citado Auto tuviera una verdadera voluntad de permanencia por responder a una interpretación abstracta y general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comprobar la existencia de la alegada vulneración del principio de igualdad en aplicación de la ley (art. 14 CE), el Ministerio Fiscal destaca que la parte recurrente ha aportado un término válido de comparación para argumentar la misma: acompaña a su demanda el Auto impugnado en amparo y otros cuatro Autos dictados por la misma Sala y Sección y que siguen un criterio distinto al ATS de 10 de febrero de 2011 [AATS 1932/2011, 17 febrero de 2011 (recurso núm. 4600-2010), 4046/2011, 24 marzo de 2011 (recurso núm. 3896-2010), 3667/2011, 17 marzo 2011 (recurso núm. 6250-2010), y 8516/2011, 16 junio 2011 (recurso núm. 5151-2010)]. También señala que el Auto ahora impugnado no contiene referencia suficiente sobre la circunstancia de que esa misma Sección hubiera dictado previamente, pero vigente ya la doctrina fijada por el ATS de 10 febrero 2011, los citados cuatro Autos en sentido diferente al de aquél, ni tampoco justificación explícita del cambio de criterio producido entre aquéllos y el Auto de que ahora se trata; lo cual, a su juicio, “parece inexcusable”. Por lo expuesto, considera que, en el presente caso, se ha cumplido con la exigencia de la acreditación del tertium comparationis, así como los requisitos de identidad de órgano judicial, alteridad y ausencia de toda motivación que justifique en términos generalizables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declare que se ha vulnerado el derecho fundamental a la igualdad en la aplicación de la ley (art. 14 CE) del demandante de amparo, y se le restablezca en su derecho y, a tales fines, se acuerde la nulidad del Auto de 2 de febrero de 2012 por el que se inadmitió el recurso de casación, así como la providencia que inadmitió el incidente de nulidad actuaciones formulado contra él, retrotrayendo las actuaciones al momento procesal inmediatamente anterior al dictado del citado Auto para que se dicte una nueva resolución respetuosa con el derecho fundamental que ha de ser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2015 se señaló para deliberación y fallo de la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 expuesto en esa Sentencia, debe desestimarse la lesión aducida del derecho a la tutela judicial efectiva (art. 24.1 CE) por falta de cobertura legal de la causa de inadmisión apreciada, ya que, tal como se argumentó extensamente en su fundamento jurídico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descartarle la lesión aducida del derecho a la igualdad en la aplicación de la ley. En el fundamento jurídico 4 de la Sentencia citada, ya se puso de manifestó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exigencia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Antonio Joan Bagué,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2 de febrero de 2012 y de la providencia de 7 de mayo de 2012, dictados en el recurso de casación núm. 2989-2011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3819-2012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