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del Auto de 20 de septiembre de 2013 del Juzgado de Primera Instancia e Instrucción núm. 5 de Jerez de la Frontera, y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23 de octubre de 2013, doña María del Carmen Mateos Pérez, representada por el Procurador de los Tribunales don Andrés Peralta de la Torre y asistida por el Letrado don Miguel Pérez de Yrigoyen, interpuso recurso de amparo contra el Auto dictado el 20 de septiembre de 2013 por el Juzgado de Primera Instancia e Instrucción núm. 5 de Jerez de la Frontera, en el particular relativo a la desestimación de la petición de nulidad de actuaciones promovida en el proceso de ejecución hipotecaria núm. 2135-2009.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recurrido de 20 de septiembre de 2013, en lo que aquí interesa, tiene el siguiente tenor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acuerda la suspensión del lanzamiento en la presente ejecución hipotecaria, en los términos del art. 1.1 Ley 1/2013,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la nulidad de actuaciones interesada por el Procurador Sra. Bachiller Burgos, en representación de la Sra. Mateos Pérez, sin que contra este pronunciamiento queda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la vulneración del derecho a obtener la tutela judicial efectiva sin indefensión (art. 24.1 CE) y del derecho a un proceso con todas las garantías y derecho de defensa (art. 24.2 CE), al no haber sido emplazada ni requerida de pago la demandante en su domicilio, aduciéndose que en las fechas en que se inició el procedimiento de ejecución hipotecaria la demandante había tenido que marchar del citado domicilio por malos tratos de su exmarido, que fue el único que tuvo conocimiento del procedimiento sin comunicárselo a la recurrente, por lo que solicita que se dicte Sentencia declarando la vulneración de los citados derechos fundamentales del art. 24.1 y 24.2 CE y, en consecuencia, anular el Auto de 20 de septiembre de 2013 recurrido, con retroacción de actuaciones al momento del emplazamiento y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de la demanda de amparo, de acuerdo con lo previsto en el art. 56 de la Ley Orgánica del Tribunal Constitucional (LOTC), la demandante solicitó la suspensión de la ejecución de la resolución recurrida alegando que la misma debe decretarse a fin de no impedir la efectividad de la pretensión de este proceso constitucional, pues ello conllevaría el lanzamiento de la vivienda, que aunque se encuentra suspendida en virtud de las disposiciones de la Ley 1/2013, no es menos cierto que el plazo de suspensión de dos años se antoja inferior al que normalmente ocupa la tramitación de un recurso de estas características.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acordó la admisión a trámite de la demanda de amparo por providencia de fecha 20 de enero de 2015, acordándose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presentó escrito el 5 de febrero de 2015, en el que solicita que se le otorgue la suspensión, reproduciendo sustancialmente las alegaciones formuladas en el otrosí de la demanda y añadiendo que no se perjudica ningún interés de tercero pues la entidad bancaria tiene la garantía hipotecaria inscrita a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 escrito de alegaciones en fecha 6 de febrero de 2015, en el que interesa: i) que se deniegue la suspensión puesto que lo que se plantea es una mera hipótesis basada en la previsión de la duración del presente proceso constitucional de amparo, por lo que no existe riesgo alguno que la pretensión de la efectividad del recurso no se lleve a efecto; y ii) que se acuerde la medida cautelar de anotación preventiva de la demanda a la luz de lo prevenido en el art. 56.3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como en el presente caso, se solicita la suspensión del lanzamiento, este Tribunal viene entendiendo con carácter general que pueden producirse situaciones irreversibles o de muy difícil vuelta a la situación anterior (AATC 287/2013, de 16 de diciembre, FJ 2, y 37/2014, de 10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tal como consta en los antecedentes, el Auto recurrido de fecha 20 de septiembre de 2013 suspendió el lanzamiento en el procedimiento de ejecución hipotecaria por aplicación de las previsiones del art. 1.1 de la Ley 1/2013, de manera que dicho acto se encuentra actualmente suspendido hasta los dos años posteriores a la entrada en vigor de la citada Ley, esto es, hasta el día 15 de mayo de 2015, independientemente de que pueda verse afectado por el Real Decreto-ley 1/2015, de 27 de febrero, que suspende hasta el 15 de mayo de 2017 dicha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circunstancias, no puede accederse a la suspensión puesto que lo que se alega es un perjuicio futuro o hipotético en base a una mera previsión sobre la duración del presente proceso constitucional de amparo. Por tanto, no existe en este momento riesgo alguno de que el recurso pierda su finalidad, al encontrarse suspendido el acto del lanzamiento, y ello sin perjuicio de que pueda reiterarse la petición en el momento en que pueda apreciarse un riesgo de que se materialice el perjuicio aducido.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anterior, debe accederse a la solicitud de anotación preventiva de la demanda formulada por el Fiscal, puesto que existe título de adjudicación de la vivienda a favor de la entidad ejecutante, estando únicamente pendiente su entrega o puesta en posesión, de manera que la medida instada cumple el fin de garantizar el derecho de la demandante de amparo frente a eventuales actos de disposición, mediante el anuncio registral frente a terceros de la pendencia del proceso constitucional con sus eventuales consecuencias sobre los derechos inscritos por todos (AATC 18/2012, de 30 de enero, y 276/2013, de 2 de diciembre,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sin prejuzgar la decisión de fondo del recurso, procede denegar la medida de suspensión y ordenar la anotación preventiva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del Auto de 20 de septiembre de 2013 del Juzgado de Primera Instancia e Instrucción núm. 5 de Jerez de la Frontera, y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