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3449-2015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Abogado del Estado y la Fiscal General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2015, al que se acompaña el correspondiente Auto de 20 de mayo, la Sección Octava de la Sala de lo Contencioso-Administrativo del Tribunal Superior de Justicia de Madrid planteó una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Las Palmas de Gran Canaria —recurrente en el proceso a quo— recibió una serie de ayudas para la ejecución del proyecto “Reposición del saneamiento en las calles Batalla de Brunete y Batalla de Teruel” con cargo al fondo estatal de inversión local, creado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Las Palmas),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Las Palmas de Gran Canaria el correspondiente trámite de alegaciones. Las alegaciones formuladas por el ayuntamiento fueron desestimadas mediante resolución de 6 de febrero de 2013 de la citada Dirección General, por la que se declaraba la existencia de un saldo a favor del tesoro público, por incumplimiento de lo dispuesto en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el Ayuntamiento de Las Palmas de Gran Canaria interpuso un recurso contencioso-administrativo ante la Sala de lo Contencioso-Administrativo del Tribunal Superior de Justicia de Madrid (recurso núm. 559-2013) alegando en la demanda que la auditoría practicada por la Intervención General de la Administración del Estado excedía de las atribuciones que tiene dicho organismo en virtud del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11 de marzo de 2015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presentó sus alegaciones el 1 de abril de 2015, razonando que los arts. 8 y 10 del Real Decreto-ley 9/2008 son aplicables al caso y relevantes para el fallo, pues se referían al control y reintegro de la ayuda concedida al ayuntamiento. No se oponía al planteamiento de la cuestión, a la vista de lo declarado en la STC 150/2012, de 5 de julio, y de que el contenido de los citados arts. 8 y 10 coinciden con dos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su escrito de alegaciones el 9 de abril de 2015, en el que se oponía al planteamiento de la cuestión. Aducía, en apoyo de su pretensión, que la STC 150/2012 no podía servir de fundamento para la formulación de la cuestión porque se refería a otro real decreto-ley. Añadía que el planteamiento de la cuestión en nada variaría la solución correspondiente al fondo del asunto porque aquella Sentencia resolvió sólo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165, de 11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16 de julio de 2015, el Presidente del Congreso de los Diputados comunicó el acuerdo de dar por personada en el procedimiento a dicha Cámara y por ofrecida su colaboración a los efectos del art. 88.1 LOTC. Igualmente, por escrito registrado el 20 de julio se recibió una comunicación del Presidente del Senado por la cual se ponía en conocimiento de este Tribunal que dicha Cámara se daba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30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presentado en este Tribunal el 16 de septiembre de 2015 en el cual, después de relacionar las circunstancias del caso y transcribir las normas legales cuestionadas, expone, sobre la concurrencia de posibles óbices procesales, que el ATC 136/2015, de 21 de julio (recaído en la cuestión de inconstitucionalidad núm. 2210-2015, sustancialmente igual a la aquí planteada), concluyó que no se había exteriorizado el juicio de relevancia. A la vista de que la presente cuestión se ha formulado en los mismos términos que la inadmitida por dicho Auto, la Fiscal General del Estado interesa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apreciara la concurrencia del citado óbice procesal, considera, en cuanto al fondo, que el paralelismo del Real Decreto-ley 9/2008 con el Real Decreto-ley 13/2009, parcialmente declarado inconstitucional por la STC 150/2012, debe llevar a concluir que el Real Decreto-ley 9/2008 contradice abiertamente el régimen competencial establecido, al atribuir íntegramente a los órganos estatales la tramitación de las subvenciones otorgadas con cargo al fondo estatal de inversión local. Por ello, entiende que, si se entra en el fondo, la cuestión debe estimarse, si bien precisando que, al igual que la STC 150/2012, el pronunciamiento de inconstitucionalidad debe tener un carácter meramente declarativo, de modo que no se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de la Constitución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(LOTC;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solo hace una formulación implícita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la STC 201/2015, de 24 de septiembre, ha tenido ocasión de pronunciarse sobre si cumplía los juicios de aplicabilidad y relevancia un Auto de la misma Sala que planteaba otra cuestión de inconstitucionalidad (la núm. 1796-2015)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FJ 3, citado por la STC 201/2015,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 la citada Sentencia.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(entre otros, AATC 120/1997, de 23 de abril, FJ 2, y 195/2010, de 14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3449-2015, planteada por la Sección Octava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